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E5" w:rsidRPr="00A607E5" w:rsidRDefault="0019797B" w:rsidP="00EC69A7">
      <w:pPr>
        <w:pStyle w:val="Subheader"/>
        <w:jc w:val="center"/>
        <w:rPr>
          <w:i/>
          <w:iCs/>
        </w:rPr>
      </w:pPr>
      <w:bookmarkStart w:id="0" w:name="_GoBack"/>
      <w:bookmarkEnd w:id="0"/>
      <w:r w:rsidRPr="00A607E5">
        <w:rPr>
          <w:rFonts w:hint="eastAsia"/>
        </w:rPr>
        <w:t xml:space="preserve">A </w:t>
      </w:r>
      <w:r w:rsidR="00A607E5" w:rsidRPr="00A607E5">
        <w:t>N</w:t>
      </w:r>
      <w:r w:rsidRPr="00A607E5">
        <w:t xml:space="preserve">ew </w:t>
      </w:r>
      <w:r w:rsidR="00A607E5" w:rsidRPr="00A607E5">
        <w:t>E</w:t>
      </w:r>
      <w:r w:rsidRPr="00A607E5">
        <w:t xml:space="preserve">ra </w:t>
      </w:r>
    </w:p>
    <w:p w:rsidR="00ED041F" w:rsidRPr="00EC69A7" w:rsidRDefault="00ED041F" w:rsidP="00A607E5">
      <w:pPr>
        <w:pStyle w:val="Subheader"/>
        <w:rPr>
          <w:i/>
          <w:iCs/>
        </w:rPr>
      </w:pPr>
      <w:r w:rsidRPr="00EC69A7">
        <w:rPr>
          <w:i/>
          <w:iCs/>
        </w:rPr>
        <w:t>James Campbell and Chris</w:t>
      </w:r>
      <w:r w:rsidR="00EC69A7">
        <w:rPr>
          <w:i/>
          <w:iCs/>
        </w:rPr>
        <w:t>topher</w:t>
      </w:r>
      <w:r w:rsidRPr="00EC69A7">
        <w:rPr>
          <w:i/>
          <w:iCs/>
        </w:rPr>
        <w:t xml:space="preserve"> Gunson take a look at the prospects </w:t>
      </w:r>
      <w:r w:rsidR="00A607E5" w:rsidRPr="00EC69A7">
        <w:rPr>
          <w:i/>
          <w:iCs/>
        </w:rPr>
        <w:t>for new investment in Iran’s upstream oil and gas industry.</w:t>
      </w:r>
    </w:p>
    <w:p w:rsidR="006F5AD7" w:rsidRDefault="00705436" w:rsidP="00421ECD">
      <w:pPr>
        <w:pStyle w:val="BodyTextLeft"/>
        <w:rPr>
          <w:lang w:eastAsia="ja-JP"/>
        </w:rPr>
      </w:pPr>
      <w:r w:rsidRPr="00880BCF">
        <w:t xml:space="preserve">The Islamic Republic of Iran has </w:t>
      </w:r>
      <w:r w:rsidR="00E94F75" w:rsidRPr="00880BCF">
        <w:rPr>
          <w:lang w:eastAsia="ja-JP"/>
        </w:rPr>
        <w:t xml:space="preserve">some of the largest </w:t>
      </w:r>
      <w:r w:rsidRPr="00880BCF">
        <w:t>oil and gas reserves</w:t>
      </w:r>
      <w:r w:rsidR="00E94F75" w:rsidRPr="00880BCF">
        <w:rPr>
          <w:lang w:eastAsia="ja-JP"/>
        </w:rPr>
        <w:t xml:space="preserve"> in the world</w:t>
      </w:r>
      <w:r w:rsidR="007211F3">
        <w:rPr>
          <w:lang w:eastAsia="ja-JP"/>
        </w:rPr>
        <w:t xml:space="preserve">.  </w:t>
      </w:r>
      <w:r w:rsidR="00880BCF" w:rsidRPr="00880BCF">
        <w:rPr>
          <w:lang w:eastAsia="ja-JP"/>
        </w:rPr>
        <w:t xml:space="preserve"> </w:t>
      </w:r>
      <w:r w:rsidR="007211F3">
        <w:rPr>
          <w:lang w:eastAsia="ja-JP"/>
        </w:rPr>
        <w:t>C</w:t>
      </w:r>
      <w:r w:rsidR="00880BCF" w:rsidRPr="00880BCF">
        <w:rPr>
          <w:lang w:eastAsia="ja-JP"/>
        </w:rPr>
        <w:t xml:space="preserve">urrent estimates </w:t>
      </w:r>
      <w:r w:rsidR="007211F3">
        <w:rPr>
          <w:lang w:eastAsia="ja-JP"/>
        </w:rPr>
        <w:t>place</w:t>
      </w:r>
      <w:r w:rsidR="007211F3" w:rsidRPr="00880BCF">
        <w:rPr>
          <w:lang w:eastAsia="ja-JP"/>
        </w:rPr>
        <w:t xml:space="preserve"> </w:t>
      </w:r>
      <w:r w:rsidR="007211F3">
        <w:rPr>
          <w:lang w:eastAsia="ja-JP"/>
        </w:rPr>
        <w:t>Iran</w:t>
      </w:r>
      <w:r w:rsidR="000C402F">
        <w:rPr>
          <w:lang w:eastAsia="ja-JP"/>
        </w:rPr>
        <w:t>’s</w:t>
      </w:r>
      <w:r w:rsidR="007211F3">
        <w:rPr>
          <w:lang w:eastAsia="ja-JP"/>
        </w:rPr>
        <w:t xml:space="preserve"> </w:t>
      </w:r>
      <w:r w:rsidR="00880BCF" w:rsidRPr="00880BCF">
        <w:rPr>
          <w:lang w:eastAsia="ja-JP"/>
        </w:rPr>
        <w:t xml:space="preserve">oil reserves at 150 billion barrels and gas reserves at </w:t>
      </w:r>
      <w:r w:rsidR="00666FC2">
        <w:rPr>
          <w:rFonts w:hint="eastAsia"/>
          <w:lang w:eastAsia="ja-JP"/>
        </w:rPr>
        <w:t xml:space="preserve">more than </w:t>
      </w:r>
      <w:r w:rsidR="00880BCF" w:rsidRPr="00880BCF">
        <w:t>1,</w:t>
      </w:r>
      <w:r w:rsidR="00421ECD">
        <w:rPr>
          <w:rFonts w:eastAsia="MS Mincho" w:hint="eastAsia"/>
          <w:lang w:eastAsia="ja-JP"/>
        </w:rPr>
        <w:t>192</w:t>
      </w:r>
      <w:r w:rsidR="00421ECD" w:rsidRPr="00880BCF">
        <w:t xml:space="preserve"> </w:t>
      </w:r>
      <w:r w:rsidR="00880BCF" w:rsidRPr="00880BCF">
        <w:t>trillion cubic feet</w:t>
      </w:r>
      <w:r w:rsidR="00880BCF" w:rsidRPr="00880BCF">
        <w:rPr>
          <w:rFonts w:eastAsia="MS Mincho"/>
          <w:lang w:eastAsia="ja-JP"/>
        </w:rPr>
        <w:t xml:space="preserve">.  </w:t>
      </w:r>
      <w:r w:rsidR="00880BCF">
        <w:rPr>
          <w:rFonts w:eastAsia="MS Mincho" w:hint="eastAsia"/>
          <w:lang w:eastAsia="ja-JP"/>
        </w:rPr>
        <w:t>Despite these abundant reserves, Iran</w:t>
      </w:r>
      <w:r w:rsidR="00880BCF">
        <w:rPr>
          <w:rFonts w:eastAsia="MS Mincho"/>
          <w:lang w:eastAsia="ja-JP"/>
        </w:rPr>
        <w:t>’</w:t>
      </w:r>
      <w:r w:rsidR="00880BCF">
        <w:rPr>
          <w:rFonts w:eastAsia="MS Mincho" w:hint="eastAsia"/>
          <w:lang w:eastAsia="ja-JP"/>
        </w:rPr>
        <w:t xml:space="preserve">s production sharply declined after the Iranian Revolution in 1979, and </w:t>
      </w:r>
      <w:r w:rsidR="00914F21" w:rsidRPr="00880BCF">
        <w:rPr>
          <w:lang w:eastAsia="ja-JP"/>
        </w:rPr>
        <w:t xml:space="preserve">production today is approximately half of the rate of production during the mid-1970s.  </w:t>
      </w:r>
    </w:p>
    <w:p w:rsidR="005C074C" w:rsidRDefault="00914F21" w:rsidP="00EC556B">
      <w:pPr>
        <w:pStyle w:val="BodyTextLeft"/>
        <w:rPr>
          <w:lang w:eastAsia="ja-JP"/>
        </w:rPr>
      </w:pPr>
      <w:r w:rsidRPr="00880BCF">
        <w:rPr>
          <w:lang w:eastAsia="ja-JP"/>
        </w:rPr>
        <w:t xml:space="preserve">The primary reason for </w:t>
      </w:r>
      <w:r w:rsidR="00666FC2">
        <w:rPr>
          <w:rFonts w:hint="eastAsia"/>
          <w:lang w:eastAsia="ja-JP"/>
        </w:rPr>
        <w:t>Iran</w:t>
      </w:r>
      <w:r w:rsidR="00666FC2">
        <w:rPr>
          <w:lang w:eastAsia="ja-JP"/>
        </w:rPr>
        <w:t>’</w:t>
      </w:r>
      <w:r w:rsidR="00666FC2">
        <w:rPr>
          <w:rFonts w:hint="eastAsia"/>
          <w:lang w:eastAsia="ja-JP"/>
        </w:rPr>
        <w:t xml:space="preserve">s </w:t>
      </w:r>
      <w:r w:rsidR="005C074C">
        <w:rPr>
          <w:rFonts w:hint="eastAsia"/>
          <w:lang w:eastAsia="ja-JP"/>
        </w:rPr>
        <w:t xml:space="preserve">low </w:t>
      </w:r>
      <w:r w:rsidR="00666FC2">
        <w:rPr>
          <w:rFonts w:hint="eastAsia"/>
          <w:lang w:eastAsia="ja-JP"/>
        </w:rPr>
        <w:t xml:space="preserve">production </w:t>
      </w:r>
      <w:r w:rsidRPr="00880BCF">
        <w:rPr>
          <w:lang w:eastAsia="ja-JP"/>
        </w:rPr>
        <w:t xml:space="preserve">is the lack of </w:t>
      </w:r>
      <w:r w:rsidR="00666FC2">
        <w:rPr>
          <w:rFonts w:hint="eastAsia"/>
          <w:lang w:eastAsia="ja-JP"/>
        </w:rPr>
        <w:t xml:space="preserve">private sector </w:t>
      </w:r>
      <w:r w:rsidRPr="00880BCF">
        <w:rPr>
          <w:lang w:eastAsia="ja-JP"/>
        </w:rPr>
        <w:t>investment</w:t>
      </w:r>
      <w:r w:rsidR="005C074C">
        <w:rPr>
          <w:rFonts w:hint="eastAsia"/>
          <w:lang w:eastAsia="ja-JP"/>
        </w:rPr>
        <w:t xml:space="preserve"> in its </w:t>
      </w:r>
      <w:r w:rsidR="005C074C">
        <w:rPr>
          <w:lang w:eastAsia="ja-JP"/>
        </w:rPr>
        <w:t>upstream</w:t>
      </w:r>
      <w:r w:rsidR="005C074C">
        <w:rPr>
          <w:rFonts w:hint="eastAsia"/>
          <w:lang w:eastAsia="ja-JP"/>
        </w:rPr>
        <w:t xml:space="preserve"> oil and gas sector</w:t>
      </w:r>
      <w:r w:rsidRPr="00880BCF">
        <w:rPr>
          <w:lang w:eastAsia="ja-JP"/>
        </w:rPr>
        <w:t xml:space="preserve">.  </w:t>
      </w:r>
      <w:r w:rsidR="00011292">
        <w:rPr>
          <w:rFonts w:hint="eastAsia"/>
          <w:lang w:eastAsia="ja-JP"/>
        </w:rPr>
        <w:t xml:space="preserve">After </w:t>
      </w:r>
      <w:r w:rsidR="00705436" w:rsidRPr="00880BCF">
        <w:t xml:space="preserve">the Iranian Revolution, Iran sought to exclude </w:t>
      </w:r>
      <w:r w:rsidR="00011292">
        <w:rPr>
          <w:rFonts w:hint="eastAsia"/>
          <w:lang w:eastAsia="ja-JP"/>
        </w:rPr>
        <w:t xml:space="preserve">any </w:t>
      </w:r>
      <w:r w:rsidR="00705436" w:rsidRPr="00880BCF">
        <w:t xml:space="preserve">foreign </w:t>
      </w:r>
      <w:r w:rsidR="00011292">
        <w:rPr>
          <w:rFonts w:hint="eastAsia"/>
          <w:lang w:eastAsia="ja-JP"/>
        </w:rPr>
        <w:t xml:space="preserve">involvement </w:t>
      </w:r>
      <w:r w:rsidR="00705436" w:rsidRPr="00880BCF">
        <w:t xml:space="preserve">from its upstream oil and gas sector, going so far as to prohibit foreign concessions </w:t>
      </w:r>
      <w:r w:rsidR="00F850D1">
        <w:rPr>
          <w:rFonts w:hint="eastAsia"/>
          <w:lang w:eastAsia="ja-JP"/>
        </w:rPr>
        <w:t xml:space="preserve">over natural resources </w:t>
      </w:r>
      <w:r w:rsidR="00705436" w:rsidRPr="00880BCF">
        <w:t xml:space="preserve">in the </w:t>
      </w:r>
      <w:r w:rsidR="00F850D1">
        <w:rPr>
          <w:rFonts w:hint="eastAsia"/>
          <w:lang w:eastAsia="ja-JP"/>
        </w:rPr>
        <w:t xml:space="preserve">provisions </w:t>
      </w:r>
      <w:r w:rsidR="00705436" w:rsidRPr="00880BCF">
        <w:t xml:space="preserve">of the revolutionary constitution.  </w:t>
      </w:r>
    </w:p>
    <w:p w:rsidR="006F5AD7" w:rsidRDefault="005C074C" w:rsidP="00687284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 xml:space="preserve">In the 1990s, </w:t>
      </w:r>
      <w:r w:rsidR="00CA0E98">
        <w:rPr>
          <w:rFonts w:hint="eastAsia"/>
          <w:lang w:eastAsia="ja-JP"/>
        </w:rPr>
        <w:t>Iran</w:t>
      </w:r>
      <w:r w:rsidR="00CA0E98">
        <w:rPr>
          <w:lang w:eastAsia="ja-JP"/>
        </w:rPr>
        <w:t>’</w:t>
      </w:r>
      <w:r w:rsidR="00CA0E98">
        <w:rPr>
          <w:rFonts w:hint="eastAsia"/>
          <w:lang w:eastAsia="ja-JP"/>
        </w:rPr>
        <w:t>s Ministry of Oil sought to create an arrangement by which foreign investment could be brought into the upstream sector without violating the constitution</w:t>
      </w:r>
      <w:r>
        <w:rPr>
          <w:rFonts w:hint="eastAsia"/>
          <w:lang w:eastAsia="ja-JP"/>
        </w:rPr>
        <w:t xml:space="preserve"> </w:t>
      </w:r>
      <w:r w:rsidR="00705436" w:rsidRPr="00880BCF">
        <w:t xml:space="preserve">through </w:t>
      </w:r>
      <w:r w:rsidR="00E94F75" w:rsidRPr="00880BCF">
        <w:rPr>
          <w:lang w:eastAsia="ja-JP"/>
        </w:rPr>
        <w:t>“</w:t>
      </w:r>
      <w:r w:rsidR="00705436" w:rsidRPr="00880BCF">
        <w:t>Buyback Contracts</w:t>
      </w:r>
      <w:r w:rsidR="00CA0E98">
        <w:rPr>
          <w:rFonts w:hint="eastAsia"/>
          <w:lang w:eastAsia="ja-JP"/>
        </w:rPr>
        <w:t>,</w:t>
      </w:r>
      <w:r w:rsidR="00CA0E98">
        <w:rPr>
          <w:lang w:eastAsia="ja-JP"/>
        </w:rPr>
        <w:t>”</w:t>
      </w:r>
      <w:r w:rsidR="00CA0E98">
        <w:rPr>
          <w:rFonts w:hint="eastAsia"/>
          <w:lang w:eastAsia="ja-JP"/>
        </w:rPr>
        <w:t xml:space="preserve"> a </w:t>
      </w:r>
      <w:r>
        <w:rPr>
          <w:rFonts w:hint="eastAsia"/>
          <w:lang w:eastAsia="ja-JP"/>
        </w:rPr>
        <w:t xml:space="preserve">type of </w:t>
      </w:r>
      <w:r w:rsidR="00CA0E98">
        <w:rPr>
          <w:lang w:eastAsia="ja-JP"/>
        </w:rPr>
        <w:t>risk-based service contract</w:t>
      </w:r>
      <w:r w:rsidR="00880BCF">
        <w:rPr>
          <w:rFonts w:hint="eastAsia"/>
          <w:lang w:eastAsia="ja-JP"/>
        </w:rPr>
        <w:t xml:space="preserve">.  </w:t>
      </w:r>
      <w:r w:rsidR="00CA0E98">
        <w:rPr>
          <w:rFonts w:hint="eastAsia"/>
          <w:lang w:eastAsia="ja-JP"/>
        </w:rPr>
        <w:t xml:space="preserve">An outline of the Buyback Contracts is explained below.  </w:t>
      </w:r>
      <w:r w:rsidR="00880BCF">
        <w:rPr>
          <w:rFonts w:hint="eastAsia"/>
          <w:lang w:eastAsia="ja-JP"/>
        </w:rPr>
        <w:t xml:space="preserve">However, </w:t>
      </w:r>
      <w:r w:rsidR="00CA0E98">
        <w:rPr>
          <w:rFonts w:hint="eastAsia"/>
          <w:lang w:eastAsia="ja-JP"/>
        </w:rPr>
        <w:t xml:space="preserve">the high risk and low return offered by the Buyback Contracts, combined with </w:t>
      </w:r>
      <w:r>
        <w:rPr>
          <w:rFonts w:hint="eastAsia"/>
          <w:lang w:eastAsia="ja-JP"/>
        </w:rPr>
        <w:t xml:space="preserve">increasingly severe </w:t>
      </w:r>
      <w:r w:rsidR="00705436" w:rsidRPr="00880BCF">
        <w:rPr>
          <w:lang w:eastAsia="ja-JP"/>
        </w:rPr>
        <w:t xml:space="preserve">international </w:t>
      </w:r>
      <w:r w:rsidR="00705436" w:rsidRPr="00880BCF">
        <w:t>sanctions resulting from Iran</w:t>
      </w:r>
      <w:r w:rsidR="00914F21" w:rsidRPr="00880BCF">
        <w:rPr>
          <w:lang w:eastAsia="ja-JP"/>
        </w:rPr>
        <w:t>’</w:t>
      </w:r>
      <w:r w:rsidR="00CA0E98">
        <w:t>s nuclear program</w:t>
      </w:r>
      <w:r w:rsidR="00CA0E98">
        <w:rPr>
          <w:rFonts w:hint="eastAsia"/>
          <w:lang w:eastAsia="ja-JP"/>
        </w:rPr>
        <w:t xml:space="preserve">, </w:t>
      </w:r>
      <w:r w:rsidR="00705436" w:rsidRPr="00880BCF">
        <w:t xml:space="preserve">prevented </w:t>
      </w:r>
      <w:r w:rsidR="00687284">
        <w:rPr>
          <w:rFonts w:hint="eastAsia"/>
          <w:lang w:eastAsia="ja-JP"/>
        </w:rPr>
        <w:t xml:space="preserve">sustained </w:t>
      </w:r>
      <w:r w:rsidR="00705436" w:rsidRPr="00880BCF">
        <w:rPr>
          <w:lang w:eastAsia="ja-JP"/>
        </w:rPr>
        <w:t xml:space="preserve">foreign </w:t>
      </w:r>
      <w:r w:rsidR="00705436" w:rsidRPr="00880BCF">
        <w:t>investment</w:t>
      </w:r>
      <w:r w:rsidR="00705436" w:rsidRPr="00880BCF">
        <w:rPr>
          <w:lang w:eastAsia="ja-JP"/>
        </w:rPr>
        <w:t xml:space="preserve"> into Iran’s oil and gas sector</w:t>
      </w:r>
      <w:r w:rsidR="00705436" w:rsidRPr="00880BCF">
        <w:t>.</w:t>
      </w:r>
    </w:p>
    <w:p w:rsidR="006F5AD7" w:rsidRDefault="00CA0E98" w:rsidP="00863153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 xml:space="preserve">Both of these two problems may soon be resolved.  </w:t>
      </w:r>
      <w:r w:rsidR="00705436" w:rsidRPr="00880BCF">
        <w:rPr>
          <w:lang w:eastAsia="ja-JP"/>
        </w:rPr>
        <w:t xml:space="preserve">Subject to a </w:t>
      </w:r>
      <w:r w:rsidR="00EF730A" w:rsidRPr="00880BCF">
        <w:rPr>
          <w:lang w:eastAsia="ja-JP"/>
        </w:rPr>
        <w:t>final political</w:t>
      </w:r>
      <w:r w:rsidR="00705436" w:rsidRPr="00880BCF">
        <w:rPr>
          <w:lang w:eastAsia="ja-JP"/>
        </w:rPr>
        <w:t xml:space="preserve"> agreement that </w:t>
      </w:r>
      <w:r w:rsidR="00EF730A" w:rsidRPr="00880BCF">
        <w:rPr>
          <w:lang w:eastAsia="ja-JP"/>
        </w:rPr>
        <w:t xml:space="preserve">has a deadline of </w:t>
      </w:r>
      <w:r w:rsidR="00705436" w:rsidRPr="00880BCF">
        <w:rPr>
          <w:lang w:eastAsia="ja-JP"/>
        </w:rPr>
        <w:t xml:space="preserve">June 2015, a preliminary </w:t>
      </w:r>
      <w:r w:rsidR="00705436" w:rsidRPr="00880BCF">
        <w:t xml:space="preserve">agreement between </w:t>
      </w:r>
      <w:r w:rsidR="002600BE" w:rsidRPr="00880BCF">
        <w:t>the P5+1 countries (the United States, the United Kingdom, China, France, Russia, and Germany)</w:t>
      </w:r>
      <w:r w:rsidR="002600BE">
        <w:t xml:space="preserve"> and </w:t>
      </w:r>
      <w:r w:rsidR="00705436" w:rsidRPr="00880BCF">
        <w:t xml:space="preserve">Iran </w:t>
      </w:r>
      <w:r w:rsidR="003F22DD">
        <w:rPr>
          <w:rFonts w:hint="eastAsia"/>
          <w:lang w:eastAsia="ja-JP"/>
        </w:rPr>
        <w:t xml:space="preserve">has been reached, and </w:t>
      </w:r>
      <w:r w:rsidR="00705436" w:rsidRPr="00880BCF">
        <w:t xml:space="preserve">there may soon be </w:t>
      </w:r>
      <w:r w:rsidR="003F22DD">
        <w:rPr>
          <w:rFonts w:hint="eastAsia"/>
          <w:lang w:eastAsia="ja-JP"/>
        </w:rPr>
        <w:t xml:space="preserve">a political agreement and the lifting of sanctions. </w:t>
      </w:r>
      <w:r w:rsidR="00705436" w:rsidRPr="00880BCF">
        <w:rPr>
          <w:lang w:eastAsia="ja-JP"/>
        </w:rPr>
        <w:t xml:space="preserve">With sanctions lifted, Iran will be able to invite </w:t>
      </w:r>
      <w:r w:rsidR="00705436" w:rsidRPr="00880BCF">
        <w:t xml:space="preserve">foreign </w:t>
      </w:r>
      <w:r w:rsidR="00705436" w:rsidRPr="00880BCF">
        <w:rPr>
          <w:lang w:eastAsia="ja-JP"/>
        </w:rPr>
        <w:t xml:space="preserve">investment </w:t>
      </w:r>
      <w:r w:rsidR="00705436" w:rsidRPr="00880BCF">
        <w:t xml:space="preserve">and </w:t>
      </w:r>
      <w:r w:rsidR="00705436" w:rsidRPr="00880BCF">
        <w:rPr>
          <w:lang w:eastAsia="ja-JP"/>
        </w:rPr>
        <w:t xml:space="preserve">the latest </w:t>
      </w:r>
      <w:r w:rsidR="00705436" w:rsidRPr="00880BCF">
        <w:t>technology</w:t>
      </w:r>
      <w:r w:rsidR="00705436" w:rsidRPr="00880BCF">
        <w:rPr>
          <w:lang w:eastAsia="ja-JP"/>
        </w:rPr>
        <w:t xml:space="preserve"> to its oil development, and </w:t>
      </w:r>
      <w:r w:rsidR="008F6DFC">
        <w:rPr>
          <w:rFonts w:hint="eastAsia"/>
          <w:lang w:eastAsia="ja-JP"/>
        </w:rPr>
        <w:t xml:space="preserve">IOCs </w:t>
      </w:r>
      <w:r w:rsidR="00705436" w:rsidRPr="00880BCF">
        <w:rPr>
          <w:lang w:eastAsia="ja-JP"/>
        </w:rPr>
        <w:t xml:space="preserve">may finally have </w:t>
      </w:r>
      <w:r w:rsidR="00705436" w:rsidRPr="00880BCF">
        <w:t>to access some of the world's largest oil and gas reserves</w:t>
      </w:r>
      <w:r w:rsidR="00705436" w:rsidRPr="00880BCF">
        <w:rPr>
          <w:lang w:eastAsia="ja-JP"/>
        </w:rPr>
        <w:t xml:space="preserve">.  </w:t>
      </w:r>
      <w:r w:rsidR="00E94F75" w:rsidRPr="00880BCF">
        <w:rPr>
          <w:lang w:eastAsia="ja-JP"/>
        </w:rPr>
        <w:t xml:space="preserve">Furthermore, the Buyback Contract regime is reported to be replaced with a new Iran Petroleum Contract (IPC).  Combined, </w:t>
      </w:r>
      <w:r w:rsidR="00863153">
        <w:rPr>
          <w:rFonts w:hint="eastAsia"/>
          <w:lang w:eastAsia="ja-JP"/>
        </w:rPr>
        <w:t xml:space="preserve">these two developments create </w:t>
      </w:r>
      <w:r w:rsidR="00705436" w:rsidRPr="00880BCF">
        <w:rPr>
          <w:lang w:eastAsia="ja-JP"/>
        </w:rPr>
        <w:t xml:space="preserve">potentially the </w:t>
      </w:r>
      <w:r w:rsidR="00705436" w:rsidRPr="00880BCF">
        <w:t xml:space="preserve">biggest opportunity for the oil and gas industry </w:t>
      </w:r>
      <w:r w:rsidR="00854378">
        <w:rPr>
          <w:lang w:eastAsia="ja-JP"/>
        </w:rPr>
        <w:t>and</w:t>
      </w:r>
      <w:r w:rsidR="00854378" w:rsidRPr="00880BCF">
        <w:rPr>
          <w:lang w:eastAsia="ja-JP"/>
        </w:rPr>
        <w:t xml:space="preserve"> </w:t>
      </w:r>
      <w:r w:rsidR="004E3A0B" w:rsidRPr="00880BCF">
        <w:rPr>
          <w:lang w:eastAsia="ja-JP"/>
        </w:rPr>
        <w:t xml:space="preserve">may even be greater than the </w:t>
      </w:r>
      <w:r w:rsidR="00705436" w:rsidRPr="00880BCF">
        <w:t>opening of Iraq</w:t>
      </w:r>
      <w:r w:rsidR="003F22DD">
        <w:rPr>
          <w:lang w:eastAsia="ja-JP"/>
        </w:rPr>
        <w:t>’</w:t>
      </w:r>
      <w:r w:rsidR="00705436" w:rsidRPr="00880BCF">
        <w:t xml:space="preserve">s oil and gas sector to foreign investment in 2009.  </w:t>
      </w:r>
    </w:p>
    <w:p w:rsidR="004E3A0B" w:rsidRPr="00880BCF" w:rsidRDefault="004E3A0B" w:rsidP="00EC556B">
      <w:pPr>
        <w:pStyle w:val="Subheader"/>
      </w:pPr>
      <w:r w:rsidRPr="00880BCF">
        <w:t>The Buyback Contract</w:t>
      </w:r>
    </w:p>
    <w:p w:rsidR="006F5AD7" w:rsidRDefault="004E3A0B" w:rsidP="00687284">
      <w:pPr>
        <w:pStyle w:val="BodyTextLeft"/>
        <w:rPr>
          <w:lang w:eastAsia="ja-JP"/>
        </w:rPr>
      </w:pPr>
      <w:r w:rsidRPr="00880BCF">
        <w:rPr>
          <w:lang w:eastAsia="ja-JP"/>
        </w:rPr>
        <w:t xml:space="preserve">Foreign </w:t>
      </w:r>
      <w:r w:rsidR="00687284">
        <w:rPr>
          <w:rFonts w:hint="eastAsia"/>
          <w:lang w:eastAsia="ja-JP"/>
        </w:rPr>
        <w:t>investment</w:t>
      </w:r>
      <w:r w:rsidR="00687284" w:rsidRPr="00880BCF">
        <w:rPr>
          <w:lang w:eastAsia="ja-JP"/>
        </w:rPr>
        <w:t xml:space="preserve"> </w:t>
      </w:r>
      <w:r w:rsidR="00687284">
        <w:rPr>
          <w:rFonts w:hint="eastAsia"/>
          <w:lang w:eastAsia="ja-JP"/>
        </w:rPr>
        <w:t xml:space="preserve">in </w:t>
      </w:r>
      <w:r w:rsidR="003F22DD">
        <w:rPr>
          <w:rFonts w:hint="eastAsia"/>
          <w:lang w:eastAsia="ja-JP"/>
        </w:rPr>
        <w:t xml:space="preserve">the development of </w:t>
      </w:r>
      <w:r w:rsidRPr="00880BCF">
        <w:rPr>
          <w:lang w:eastAsia="ja-JP"/>
        </w:rPr>
        <w:t>Iran’s oil sparked several political revolutions</w:t>
      </w:r>
      <w:r w:rsidR="003F22DD">
        <w:rPr>
          <w:rFonts w:hint="eastAsia"/>
          <w:lang w:eastAsia="ja-JP"/>
        </w:rPr>
        <w:t xml:space="preserve"> in the 20</w:t>
      </w:r>
      <w:r w:rsidR="003F22DD" w:rsidRPr="003F22DD">
        <w:rPr>
          <w:rFonts w:hint="eastAsia"/>
          <w:vertAlign w:val="superscript"/>
          <w:lang w:eastAsia="ja-JP"/>
        </w:rPr>
        <w:t>th</w:t>
      </w:r>
      <w:r w:rsidR="003F22DD">
        <w:rPr>
          <w:rFonts w:hint="eastAsia"/>
          <w:lang w:eastAsia="ja-JP"/>
        </w:rPr>
        <w:t xml:space="preserve"> century</w:t>
      </w:r>
      <w:r w:rsidR="00CA0E98">
        <w:rPr>
          <w:rFonts w:hint="eastAsia"/>
          <w:lang w:eastAsia="ja-JP"/>
        </w:rPr>
        <w:t xml:space="preserve">.  The </w:t>
      </w:r>
      <w:r w:rsidR="003F22DD">
        <w:rPr>
          <w:lang w:eastAsia="ja-JP"/>
        </w:rPr>
        <w:t>1979 revolution</w:t>
      </w:r>
      <w:r w:rsidR="002E1D53">
        <w:rPr>
          <w:lang w:eastAsia="ja-JP"/>
        </w:rPr>
        <w:t xml:space="preserve"> —</w:t>
      </w:r>
      <w:r w:rsidR="003F22DD">
        <w:rPr>
          <w:rFonts w:hint="eastAsia"/>
          <w:lang w:eastAsia="ja-JP"/>
        </w:rPr>
        <w:t xml:space="preserve"> which </w:t>
      </w:r>
      <w:r w:rsidRPr="00880BCF">
        <w:rPr>
          <w:lang w:eastAsia="ja-JP"/>
        </w:rPr>
        <w:t>resulted in the establishment of the Islamic Republic</w:t>
      </w:r>
      <w:r w:rsidR="002E1D53">
        <w:rPr>
          <w:lang w:eastAsia="ja-JP"/>
        </w:rPr>
        <w:t xml:space="preserve"> —</w:t>
      </w:r>
      <w:r w:rsidR="00CA0E98">
        <w:rPr>
          <w:rFonts w:hint="eastAsia"/>
          <w:lang w:eastAsia="ja-JP"/>
        </w:rPr>
        <w:t xml:space="preserve"> </w:t>
      </w:r>
      <w:r w:rsidR="003F22DD">
        <w:rPr>
          <w:rFonts w:hint="eastAsia"/>
          <w:lang w:eastAsia="ja-JP"/>
        </w:rPr>
        <w:t xml:space="preserve">was followed by a new </w:t>
      </w:r>
      <w:r w:rsidRPr="00880BCF">
        <w:rPr>
          <w:lang w:eastAsia="ja-JP"/>
        </w:rPr>
        <w:t>constitution that expressly prohibited the granting of concessions to foreign companies</w:t>
      </w:r>
      <w:r w:rsidR="003F22DD">
        <w:rPr>
          <w:rFonts w:hint="eastAsia"/>
          <w:lang w:eastAsia="ja-JP"/>
        </w:rPr>
        <w:t xml:space="preserve"> for the development of national resources</w:t>
      </w:r>
      <w:r w:rsidRPr="00880BCF">
        <w:rPr>
          <w:lang w:eastAsia="ja-JP"/>
        </w:rPr>
        <w:t xml:space="preserve">.  </w:t>
      </w:r>
      <w:r w:rsidR="00CA0E98">
        <w:rPr>
          <w:rFonts w:hint="eastAsia"/>
          <w:lang w:eastAsia="ja-JP"/>
        </w:rPr>
        <w:t>Following the revolution</w:t>
      </w:r>
      <w:r w:rsidR="00687284">
        <w:rPr>
          <w:rFonts w:hint="eastAsia"/>
          <w:lang w:eastAsia="ja-JP"/>
        </w:rPr>
        <w:t xml:space="preserve"> and the Iran-Iraq War</w:t>
      </w:r>
      <w:r w:rsidR="00CA0E98">
        <w:rPr>
          <w:rFonts w:hint="eastAsia"/>
          <w:lang w:eastAsia="ja-JP"/>
        </w:rPr>
        <w:t xml:space="preserve">, </w:t>
      </w:r>
      <w:r w:rsidRPr="00880BCF">
        <w:rPr>
          <w:lang w:eastAsia="ja-JP"/>
        </w:rPr>
        <w:t xml:space="preserve">Iran’s oil production </w:t>
      </w:r>
      <w:r w:rsidR="00CA0E98">
        <w:rPr>
          <w:lang w:eastAsia="ja-JP"/>
        </w:rPr>
        <w:t>dropped sharply</w:t>
      </w:r>
      <w:r w:rsidR="00CA0E98">
        <w:rPr>
          <w:rFonts w:hint="eastAsia"/>
          <w:lang w:eastAsia="ja-JP"/>
        </w:rPr>
        <w:t xml:space="preserve"> </w:t>
      </w:r>
      <w:r w:rsidRPr="00880BCF">
        <w:rPr>
          <w:lang w:eastAsia="ja-JP"/>
        </w:rPr>
        <w:t xml:space="preserve">and never recovered to the levels </w:t>
      </w:r>
      <w:r w:rsidR="003F22DD">
        <w:rPr>
          <w:rFonts w:hint="eastAsia"/>
          <w:lang w:eastAsia="ja-JP"/>
        </w:rPr>
        <w:t xml:space="preserve">enjoyed during </w:t>
      </w:r>
      <w:r w:rsidRPr="00880BCF">
        <w:rPr>
          <w:lang w:eastAsia="ja-JP"/>
        </w:rPr>
        <w:t xml:space="preserve">the 1970s.  </w:t>
      </w:r>
    </w:p>
    <w:p w:rsidR="006F5AD7" w:rsidRDefault="004E3A0B" w:rsidP="00863153">
      <w:pPr>
        <w:pStyle w:val="BodyTextLeft"/>
        <w:rPr>
          <w:lang w:eastAsia="ja-JP"/>
        </w:rPr>
      </w:pPr>
      <w:r w:rsidRPr="00880BCF">
        <w:rPr>
          <w:lang w:eastAsia="ja-JP"/>
        </w:rPr>
        <w:t xml:space="preserve">Iran’s Oil Ministry </w:t>
      </w:r>
      <w:proofErr w:type="spellStart"/>
      <w:r w:rsidRPr="00880BCF">
        <w:rPr>
          <w:lang w:eastAsia="ja-JP"/>
        </w:rPr>
        <w:t>recogni</w:t>
      </w:r>
      <w:r w:rsidR="00E12D3F">
        <w:rPr>
          <w:lang w:eastAsia="ja-JP"/>
        </w:rPr>
        <w:t>s</w:t>
      </w:r>
      <w:r w:rsidRPr="00880BCF">
        <w:rPr>
          <w:lang w:eastAsia="ja-JP"/>
        </w:rPr>
        <w:t>ed</w:t>
      </w:r>
      <w:proofErr w:type="spellEnd"/>
      <w:r w:rsidRPr="00880BCF">
        <w:rPr>
          <w:lang w:eastAsia="ja-JP"/>
        </w:rPr>
        <w:t xml:space="preserve"> the importance of foreign investment in the sector, and yet</w:t>
      </w:r>
      <w:r w:rsidR="00854378">
        <w:rPr>
          <w:lang w:eastAsia="ja-JP"/>
        </w:rPr>
        <w:t>,</w:t>
      </w:r>
      <w:r w:rsidRPr="00880BCF">
        <w:rPr>
          <w:lang w:eastAsia="ja-JP"/>
        </w:rPr>
        <w:t xml:space="preserve"> due the limitations set out in the Constitution, introduced </w:t>
      </w:r>
      <w:r w:rsidR="00854378">
        <w:rPr>
          <w:lang w:eastAsia="ja-JP"/>
        </w:rPr>
        <w:t>the</w:t>
      </w:r>
      <w:r w:rsidR="00854378" w:rsidRPr="00880BCF">
        <w:rPr>
          <w:lang w:eastAsia="ja-JP"/>
        </w:rPr>
        <w:t xml:space="preserve"> </w:t>
      </w:r>
      <w:r w:rsidRPr="00880BCF">
        <w:rPr>
          <w:lang w:eastAsia="ja-JP"/>
        </w:rPr>
        <w:t xml:space="preserve">Buyback Contract in the 1990s. </w:t>
      </w:r>
      <w:r w:rsidR="00854378">
        <w:rPr>
          <w:lang w:eastAsia="ja-JP"/>
        </w:rPr>
        <w:t xml:space="preserve"> </w:t>
      </w:r>
      <w:r w:rsidR="002F6772" w:rsidRPr="00880BCF">
        <w:t xml:space="preserve">The </w:t>
      </w:r>
      <w:r w:rsidR="00687284">
        <w:rPr>
          <w:rFonts w:hint="eastAsia"/>
          <w:lang w:eastAsia="ja-JP"/>
        </w:rPr>
        <w:t xml:space="preserve">first generation </w:t>
      </w:r>
      <w:r w:rsidR="002F6772" w:rsidRPr="00880BCF">
        <w:rPr>
          <w:lang w:eastAsia="ja-JP"/>
        </w:rPr>
        <w:t xml:space="preserve">Buyback Contract was a short-term risked service contract that allowed contractors to </w:t>
      </w:r>
      <w:r w:rsidR="002F6772" w:rsidRPr="00880BCF">
        <w:t xml:space="preserve">pay for </w:t>
      </w:r>
      <w:r w:rsidR="002F6772" w:rsidRPr="00880BCF">
        <w:rPr>
          <w:lang w:eastAsia="ja-JP"/>
        </w:rPr>
        <w:t xml:space="preserve">all capital costs involved with </w:t>
      </w:r>
      <w:r w:rsidR="002F6772" w:rsidRPr="00880BCF">
        <w:t>oil and gas development</w:t>
      </w:r>
      <w:r w:rsidR="00422A4F">
        <w:rPr>
          <w:rFonts w:hint="eastAsia"/>
          <w:lang w:eastAsia="ja-JP"/>
        </w:rPr>
        <w:t>.  I</w:t>
      </w:r>
      <w:r w:rsidR="002F6772" w:rsidRPr="00880BCF">
        <w:t xml:space="preserve">nvestment </w:t>
      </w:r>
      <w:r w:rsidR="00422A4F">
        <w:rPr>
          <w:rFonts w:hint="eastAsia"/>
          <w:lang w:eastAsia="ja-JP"/>
        </w:rPr>
        <w:t xml:space="preserve">could only be recovered </w:t>
      </w:r>
      <w:r w:rsidR="002F6772" w:rsidRPr="00880BCF">
        <w:t>from actual production</w:t>
      </w:r>
      <w:r w:rsidR="00422A4F">
        <w:rPr>
          <w:rFonts w:hint="eastAsia"/>
          <w:lang w:eastAsia="ja-JP"/>
        </w:rPr>
        <w:t xml:space="preserve">, and exploration costs that did </w:t>
      </w:r>
      <w:r w:rsidR="00422A4F">
        <w:rPr>
          <w:rFonts w:hint="eastAsia"/>
          <w:lang w:eastAsia="ja-JP"/>
        </w:rPr>
        <w:lastRenderedPageBreak/>
        <w:t xml:space="preserve">not result in production meant that capital and </w:t>
      </w:r>
      <w:r w:rsidR="00422A4F">
        <w:rPr>
          <w:lang w:eastAsia="ja-JP"/>
        </w:rPr>
        <w:t>operational</w:t>
      </w:r>
      <w:r w:rsidR="00422A4F">
        <w:rPr>
          <w:rFonts w:hint="eastAsia"/>
          <w:lang w:eastAsia="ja-JP"/>
        </w:rPr>
        <w:t xml:space="preserve"> expenditures could not be recovered</w:t>
      </w:r>
      <w:r w:rsidR="002F6772" w:rsidRPr="00880BCF">
        <w:rPr>
          <w:lang w:eastAsia="ja-JP"/>
        </w:rPr>
        <w:t xml:space="preserve">.  </w:t>
      </w:r>
      <w:r w:rsidR="00422A4F">
        <w:rPr>
          <w:rFonts w:hint="eastAsia"/>
          <w:lang w:eastAsia="ja-JP"/>
        </w:rPr>
        <w:t>Furthermore, t</w:t>
      </w:r>
      <w:r w:rsidR="002F6772" w:rsidRPr="00880BCF">
        <w:rPr>
          <w:lang w:eastAsia="ja-JP"/>
        </w:rPr>
        <w:t xml:space="preserve">he recovery period was limited to less than ten years, with a fixed remuneration fee set per barrel.  </w:t>
      </w:r>
      <w:r w:rsidR="00422A4F">
        <w:rPr>
          <w:rFonts w:hint="eastAsia"/>
          <w:lang w:eastAsia="ja-JP"/>
        </w:rPr>
        <w:t>All of this combined to</w:t>
      </w:r>
      <w:r w:rsidR="00854378">
        <w:rPr>
          <w:lang w:eastAsia="ja-JP"/>
        </w:rPr>
        <w:t xml:space="preserve"> create</w:t>
      </w:r>
      <w:r w:rsidR="00422A4F">
        <w:rPr>
          <w:rFonts w:hint="eastAsia"/>
          <w:lang w:eastAsia="ja-JP"/>
        </w:rPr>
        <w:t xml:space="preserve"> a very unfavorable system that </w:t>
      </w:r>
      <w:r w:rsidR="002F6772" w:rsidRPr="00880BCF">
        <w:rPr>
          <w:lang w:eastAsia="ja-JP"/>
        </w:rPr>
        <w:t xml:space="preserve">exposed the contractors to the risk of </w:t>
      </w:r>
      <w:r w:rsidR="006C14B5">
        <w:rPr>
          <w:rFonts w:hint="eastAsia"/>
          <w:lang w:eastAsia="ja-JP"/>
        </w:rPr>
        <w:t xml:space="preserve">being unable to recover </w:t>
      </w:r>
      <w:r w:rsidR="002F6772" w:rsidRPr="00880BCF">
        <w:rPr>
          <w:lang w:eastAsia="ja-JP"/>
        </w:rPr>
        <w:t xml:space="preserve">capital </w:t>
      </w:r>
      <w:r w:rsidR="006C14B5">
        <w:rPr>
          <w:rFonts w:hint="eastAsia"/>
          <w:lang w:eastAsia="ja-JP"/>
        </w:rPr>
        <w:t>expenditures</w:t>
      </w:r>
      <w:r w:rsidR="002F6772" w:rsidRPr="00880BCF">
        <w:rPr>
          <w:lang w:eastAsia="ja-JP"/>
        </w:rPr>
        <w:t xml:space="preserve">.  </w:t>
      </w:r>
      <w:r w:rsidR="00514EEA">
        <w:rPr>
          <w:lang w:eastAsia="ja-JP"/>
        </w:rPr>
        <w:t>C</w:t>
      </w:r>
      <w:r w:rsidR="002F6772" w:rsidRPr="00880BCF">
        <w:rPr>
          <w:lang w:eastAsia="ja-JP"/>
        </w:rPr>
        <w:t xml:space="preserve">ontractors were </w:t>
      </w:r>
      <w:r w:rsidR="00514EEA">
        <w:rPr>
          <w:lang w:eastAsia="ja-JP"/>
        </w:rPr>
        <w:t xml:space="preserve">also </w:t>
      </w:r>
      <w:r w:rsidR="002F6772" w:rsidRPr="00880BCF">
        <w:rPr>
          <w:lang w:eastAsia="ja-JP"/>
        </w:rPr>
        <w:t>prohibited from booking reserves.</w:t>
      </w:r>
      <w:r w:rsidR="006F518D">
        <w:rPr>
          <w:rFonts w:hint="eastAsia"/>
          <w:lang w:eastAsia="ja-JP"/>
        </w:rPr>
        <w:t xml:space="preserve">  </w:t>
      </w:r>
      <w:r w:rsidR="00687284">
        <w:rPr>
          <w:rFonts w:hint="eastAsia"/>
          <w:lang w:eastAsia="ja-JP"/>
        </w:rPr>
        <w:t xml:space="preserve">A second generation of Buyback Contract was later introduced that had a longer term and covered exploration activities.  </w:t>
      </w:r>
      <w:r w:rsidR="00422A4F">
        <w:rPr>
          <w:rFonts w:hint="eastAsia"/>
          <w:lang w:eastAsia="ja-JP"/>
        </w:rPr>
        <w:t>Even with these terms</w:t>
      </w:r>
      <w:r w:rsidR="002B4F05">
        <w:rPr>
          <w:lang w:eastAsia="ja-JP"/>
        </w:rPr>
        <w:t xml:space="preserve">, </w:t>
      </w:r>
      <w:r w:rsidR="00061199">
        <w:rPr>
          <w:lang w:eastAsia="ja-JP"/>
        </w:rPr>
        <w:t xml:space="preserve">several </w:t>
      </w:r>
      <w:r w:rsidR="002B4F05">
        <w:rPr>
          <w:rFonts w:hint="eastAsia"/>
          <w:lang w:eastAsia="ja-JP"/>
        </w:rPr>
        <w:t xml:space="preserve">non-US companies </w:t>
      </w:r>
      <w:r w:rsidR="002B4F05">
        <w:rPr>
          <w:lang w:eastAsia="ja-JP"/>
        </w:rPr>
        <w:t>such as</w:t>
      </w:r>
      <w:r w:rsidR="002B4F05">
        <w:rPr>
          <w:rFonts w:hint="eastAsia"/>
          <w:lang w:eastAsia="ja-JP"/>
        </w:rPr>
        <w:t xml:space="preserve"> Shell, Total, and </w:t>
      </w:r>
      <w:proofErr w:type="spellStart"/>
      <w:r w:rsidR="002B4F05">
        <w:rPr>
          <w:rFonts w:hint="eastAsia"/>
          <w:lang w:eastAsia="ja-JP"/>
        </w:rPr>
        <w:t>Inpex</w:t>
      </w:r>
      <w:proofErr w:type="spellEnd"/>
      <w:r w:rsidR="00514EEA">
        <w:rPr>
          <w:lang w:eastAsia="ja-JP"/>
        </w:rPr>
        <w:t xml:space="preserve"> —</w:t>
      </w:r>
      <w:r w:rsidR="00422A4F">
        <w:rPr>
          <w:rFonts w:hint="eastAsia"/>
          <w:lang w:eastAsia="ja-JP"/>
        </w:rPr>
        <w:t xml:space="preserve"> encouraged by the potential of Iran</w:t>
      </w:r>
      <w:r w:rsidR="00422A4F">
        <w:rPr>
          <w:lang w:eastAsia="ja-JP"/>
        </w:rPr>
        <w:t>’</w:t>
      </w:r>
      <w:r w:rsidR="00422A4F">
        <w:rPr>
          <w:rFonts w:hint="eastAsia"/>
          <w:lang w:eastAsia="ja-JP"/>
        </w:rPr>
        <w:t>s upstream oil and gas sector</w:t>
      </w:r>
      <w:r w:rsidR="00514EEA">
        <w:rPr>
          <w:lang w:eastAsia="ja-JP"/>
        </w:rPr>
        <w:t xml:space="preserve"> —</w:t>
      </w:r>
      <w:r w:rsidR="00863153">
        <w:rPr>
          <w:rFonts w:hint="eastAsia"/>
          <w:lang w:eastAsia="ja-JP"/>
        </w:rPr>
        <w:t xml:space="preserve"> </w:t>
      </w:r>
      <w:r w:rsidR="008230EB">
        <w:rPr>
          <w:rFonts w:hint="eastAsia"/>
          <w:lang w:eastAsia="ja-JP"/>
        </w:rPr>
        <w:t xml:space="preserve">signed up to Buyback Contracts.  </w:t>
      </w:r>
    </w:p>
    <w:p w:rsidR="006F5AD7" w:rsidRDefault="00A36A09" w:rsidP="00687284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>Iranian officials claim that the Buyback Contracts attracted up to US$50 billion in added value to Iran</w:t>
      </w:r>
      <w:r>
        <w:rPr>
          <w:lang w:eastAsia="ja-JP"/>
        </w:rPr>
        <w:t>’</w:t>
      </w:r>
      <w:r>
        <w:rPr>
          <w:rFonts w:hint="eastAsia"/>
          <w:lang w:eastAsia="ja-JP"/>
        </w:rPr>
        <w:t>s oil and gas industry</w:t>
      </w:r>
      <w:r w:rsidR="00320D98">
        <w:rPr>
          <w:rFonts w:hint="eastAsia"/>
          <w:lang w:eastAsia="ja-JP"/>
        </w:rPr>
        <w:t xml:space="preserve">, but the framework </w:t>
      </w:r>
      <w:r w:rsidR="00687284">
        <w:rPr>
          <w:rFonts w:hint="eastAsia"/>
          <w:lang w:eastAsia="ja-JP"/>
        </w:rPr>
        <w:t xml:space="preserve">did not </w:t>
      </w:r>
      <w:r w:rsidR="00687284" w:rsidRPr="00880BCF">
        <w:rPr>
          <w:lang w:eastAsia="ja-JP"/>
        </w:rPr>
        <w:t>achiev</w:t>
      </w:r>
      <w:r w:rsidR="00687284">
        <w:rPr>
          <w:rFonts w:hint="eastAsia"/>
          <w:lang w:eastAsia="ja-JP"/>
        </w:rPr>
        <w:t>e</w:t>
      </w:r>
      <w:r w:rsidR="00687284" w:rsidRPr="00880BCF">
        <w:rPr>
          <w:lang w:eastAsia="ja-JP"/>
        </w:rPr>
        <w:t xml:space="preserve"> </w:t>
      </w:r>
      <w:r w:rsidR="002F6772" w:rsidRPr="00880BCF">
        <w:rPr>
          <w:lang w:eastAsia="ja-JP"/>
        </w:rPr>
        <w:t>its goals of increasing oil production</w:t>
      </w:r>
      <w:r w:rsidR="004E3A0B" w:rsidRPr="00880BCF">
        <w:rPr>
          <w:lang w:eastAsia="ja-JP"/>
        </w:rPr>
        <w:t xml:space="preserve">. </w:t>
      </w:r>
      <w:r w:rsidR="002F6772" w:rsidRPr="00880BCF">
        <w:rPr>
          <w:lang w:eastAsia="ja-JP"/>
        </w:rPr>
        <w:t xml:space="preserve"> </w:t>
      </w:r>
      <w:r w:rsidR="006C14B5" w:rsidRPr="006C14B5">
        <w:rPr>
          <w:lang w:eastAsia="ja-JP"/>
        </w:rPr>
        <w:t xml:space="preserve">At the time, </w:t>
      </w:r>
      <w:r w:rsidR="006C14B5">
        <w:rPr>
          <w:rFonts w:hint="eastAsia"/>
          <w:lang w:eastAsia="ja-JP"/>
        </w:rPr>
        <w:t xml:space="preserve">it was </w:t>
      </w:r>
      <w:r w:rsidR="00320D98">
        <w:rPr>
          <w:rFonts w:hint="eastAsia"/>
          <w:lang w:eastAsia="ja-JP"/>
        </w:rPr>
        <w:t xml:space="preserve">seen as the only politically acceptable method by which to bring </w:t>
      </w:r>
      <w:r w:rsidR="006C14B5">
        <w:rPr>
          <w:rFonts w:hint="eastAsia"/>
          <w:lang w:eastAsia="ja-JP"/>
        </w:rPr>
        <w:t>IOC in</w:t>
      </w:r>
      <w:r w:rsidR="00320D98">
        <w:rPr>
          <w:rFonts w:hint="eastAsia"/>
          <w:lang w:eastAsia="ja-JP"/>
        </w:rPr>
        <w:t>vestment in</w:t>
      </w:r>
      <w:r w:rsidR="00687284">
        <w:rPr>
          <w:rFonts w:hint="eastAsia"/>
          <w:lang w:eastAsia="ja-JP"/>
        </w:rPr>
        <w:t>to</w:t>
      </w:r>
      <w:r w:rsidR="00320D98">
        <w:rPr>
          <w:rFonts w:hint="eastAsia"/>
          <w:lang w:eastAsia="ja-JP"/>
        </w:rPr>
        <w:t xml:space="preserve"> the upstream sector, but </w:t>
      </w:r>
      <w:r w:rsidR="00234608">
        <w:rPr>
          <w:rFonts w:hint="eastAsia"/>
          <w:lang w:eastAsia="ja-JP"/>
        </w:rPr>
        <w:t xml:space="preserve">the high risk and low return, combined with the </w:t>
      </w:r>
      <w:r w:rsidR="004E3A0B" w:rsidRPr="00880BCF">
        <w:rPr>
          <w:lang w:eastAsia="ja-JP"/>
        </w:rPr>
        <w:t xml:space="preserve">persistent and increasingly stringent </w:t>
      </w:r>
      <w:r w:rsidR="002F6772" w:rsidRPr="00880BCF">
        <w:rPr>
          <w:lang w:eastAsia="ja-JP"/>
        </w:rPr>
        <w:t xml:space="preserve">international </w:t>
      </w:r>
      <w:r w:rsidR="004E3A0B" w:rsidRPr="00880BCF">
        <w:rPr>
          <w:lang w:eastAsia="ja-JP"/>
        </w:rPr>
        <w:t>sanctions</w:t>
      </w:r>
      <w:r w:rsidR="002F6772" w:rsidRPr="00880BCF">
        <w:rPr>
          <w:lang w:eastAsia="ja-JP"/>
        </w:rPr>
        <w:t xml:space="preserve"> on Iran</w:t>
      </w:r>
      <w:r w:rsidR="00854378">
        <w:rPr>
          <w:lang w:eastAsia="ja-JP"/>
        </w:rPr>
        <w:t>,</w:t>
      </w:r>
      <w:r w:rsidR="00320D98">
        <w:rPr>
          <w:rFonts w:hint="eastAsia"/>
          <w:lang w:eastAsia="ja-JP"/>
        </w:rPr>
        <w:t xml:space="preserve"> made it very unpopular with IOCs</w:t>
      </w:r>
      <w:r w:rsidR="002F6772" w:rsidRPr="00880BCF">
        <w:rPr>
          <w:lang w:eastAsia="ja-JP"/>
        </w:rPr>
        <w:t xml:space="preserve">.  </w:t>
      </w:r>
    </w:p>
    <w:p w:rsidR="00234608" w:rsidRPr="00880BCF" w:rsidRDefault="00234608" w:rsidP="00EC556B">
      <w:pPr>
        <w:pStyle w:val="Subheader"/>
      </w:pPr>
      <w:r w:rsidRPr="00880BCF">
        <w:t>The New Iran Petroleum Contract</w:t>
      </w:r>
    </w:p>
    <w:p w:rsidR="006F5AD7" w:rsidRDefault="00234608" w:rsidP="00DA7857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 xml:space="preserve">In 2009, </w:t>
      </w:r>
      <w:r w:rsidR="00320D98">
        <w:rPr>
          <w:rFonts w:hint="eastAsia"/>
          <w:lang w:eastAsia="ja-JP"/>
        </w:rPr>
        <w:t xml:space="preserve">as new international sanctions continued to be placed on Iran, </w:t>
      </w:r>
      <w:r>
        <w:rPr>
          <w:rFonts w:hint="eastAsia"/>
          <w:lang w:eastAsia="ja-JP"/>
        </w:rPr>
        <w:t>t</w:t>
      </w:r>
      <w:r w:rsidRPr="00234608">
        <w:rPr>
          <w:lang w:eastAsia="ja-JP"/>
        </w:rPr>
        <w:t xml:space="preserve">he National Iranian Oil Company </w:t>
      </w:r>
      <w:r w:rsidR="00320D98">
        <w:rPr>
          <w:rFonts w:hint="eastAsia"/>
          <w:lang w:eastAsia="ja-JP"/>
        </w:rPr>
        <w:t xml:space="preserve">(NIOC) </w:t>
      </w:r>
      <w:r>
        <w:rPr>
          <w:rFonts w:hint="eastAsia"/>
          <w:lang w:eastAsia="ja-JP"/>
        </w:rPr>
        <w:t xml:space="preserve">entered into </w:t>
      </w:r>
      <w:r w:rsidR="008230EB">
        <w:rPr>
          <w:rFonts w:hint="eastAsia"/>
          <w:lang w:eastAsia="ja-JP"/>
        </w:rPr>
        <w:t xml:space="preserve">negotiations with </w:t>
      </w:r>
      <w:r w:rsidR="00A36A09">
        <w:rPr>
          <w:rFonts w:hint="eastAsia"/>
          <w:lang w:eastAsia="ja-JP"/>
        </w:rPr>
        <w:t xml:space="preserve">several </w:t>
      </w:r>
      <w:r>
        <w:rPr>
          <w:rFonts w:hint="eastAsia"/>
          <w:lang w:eastAsia="ja-JP"/>
        </w:rPr>
        <w:t xml:space="preserve">Indian contractors to </w:t>
      </w:r>
      <w:r w:rsidRPr="00234608">
        <w:rPr>
          <w:lang w:eastAsia="ja-JP"/>
        </w:rPr>
        <w:t xml:space="preserve">develop the offshore </w:t>
      </w:r>
      <w:proofErr w:type="spellStart"/>
      <w:r w:rsidRPr="00234608">
        <w:rPr>
          <w:lang w:eastAsia="ja-JP"/>
        </w:rPr>
        <w:t>Farzad</w:t>
      </w:r>
      <w:proofErr w:type="spellEnd"/>
      <w:r w:rsidRPr="00234608">
        <w:rPr>
          <w:lang w:eastAsia="ja-JP"/>
        </w:rPr>
        <w:t xml:space="preserve"> B gas field. </w:t>
      </w:r>
      <w:r>
        <w:rPr>
          <w:rFonts w:hint="eastAsia"/>
          <w:lang w:eastAsia="ja-JP"/>
        </w:rPr>
        <w:t xml:space="preserve"> </w:t>
      </w:r>
      <w:r w:rsidRPr="00234608">
        <w:rPr>
          <w:lang w:eastAsia="ja-JP"/>
        </w:rPr>
        <w:t xml:space="preserve">Negotiations </w:t>
      </w:r>
      <w:r>
        <w:rPr>
          <w:rFonts w:hint="eastAsia"/>
          <w:lang w:eastAsia="ja-JP"/>
        </w:rPr>
        <w:t xml:space="preserve">concluded in 2013 with a </w:t>
      </w:r>
      <w:r w:rsidR="00687284">
        <w:rPr>
          <w:rFonts w:hint="eastAsia"/>
          <w:lang w:eastAsia="ja-JP"/>
        </w:rPr>
        <w:t xml:space="preserve">third generation Buyback Contract </w:t>
      </w:r>
      <w:r w:rsidR="00A36A09">
        <w:rPr>
          <w:rFonts w:hint="eastAsia"/>
          <w:lang w:eastAsia="ja-JP"/>
        </w:rPr>
        <w:t xml:space="preserve">being </w:t>
      </w:r>
      <w:r w:rsidR="00687284">
        <w:rPr>
          <w:rFonts w:hint="eastAsia"/>
          <w:lang w:eastAsia="ja-JP"/>
        </w:rPr>
        <w:t xml:space="preserve">offered </w:t>
      </w:r>
      <w:r w:rsidR="00A36A09">
        <w:rPr>
          <w:rFonts w:hint="eastAsia"/>
          <w:lang w:eastAsia="ja-JP"/>
        </w:rPr>
        <w:t xml:space="preserve">to a consortium </w:t>
      </w:r>
      <w:r w:rsidR="00C04E93">
        <w:rPr>
          <w:lang w:eastAsia="ja-JP"/>
        </w:rPr>
        <w:t xml:space="preserve">of </w:t>
      </w:r>
      <w:r w:rsidR="00A36A09">
        <w:rPr>
          <w:rFonts w:hint="eastAsia"/>
          <w:lang w:eastAsia="ja-JP"/>
        </w:rPr>
        <w:t>O</w:t>
      </w:r>
      <w:r w:rsidR="00A36A09" w:rsidRPr="00A36A09">
        <w:rPr>
          <w:lang w:eastAsia="ja-JP"/>
        </w:rPr>
        <w:t xml:space="preserve">NGC </w:t>
      </w:r>
      <w:proofErr w:type="spellStart"/>
      <w:r w:rsidR="00A36A09" w:rsidRPr="00A36A09">
        <w:rPr>
          <w:lang w:eastAsia="ja-JP"/>
        </w:rPr>
        <w:t>Videsh</w:t>
      </w:r>
      <w:proofErr w:type="spellEnd"/>
      <w:r w:rsidR="00A36A09">
        <w:rPr>
          <w:rFonts w:hint="eastAsia"/>
          <w:lang w:eastAsia="ja-JP"/>
        </w:rPr>
        <w:t xml:space="preserve">, </w:t>
      </w:r>
      <w:r w:rsidR="00A36A09" w:rsidRPr="00A36A09">
        <w:rPr>
          <w:lang w:eastAsia="ja-JP"/>
        </w:rPr>
        <w:t>Indian Oil Corp</w:t>
      </w:r>
      <w:r w:rsidR="00A36A09">
        <w:rPr>
          <w:rFonts w:hint="eastAsia"/>
          <w:lang w:eastAsia="ja-JP"/>
        </w:rPr>
        <w:t xml:space="preserve">oration, and </w:t>
      </w:r>
      <w:r w:rsidR="00A36A09">
        <w:rPr>
          <w:lang w:eastAsia="ja-JP"/>
        </w:rPr>
        <w:t>Oil India</w:t>
      </w:r>
      <w:r w:rsidR="00A36A09">
        <w:rPr>
          <w:rFonts w:hint="eastAsia"/>
          <w:lang w:eastAsia="ja-JP"/>
        </w:rPr>
        <w:t xml:space="preserve"> Limited</w:t>
      </w:r>
      <w:r w:rsidR="00687284">
        <w:rPr>
          <w:rFonts w:hint="eastAsia"/>
          <w:lang w:eastAsia="ja-JP"/>
        </w:rPr>
        <w:t xml:space="preserve">, but </w:t>
      </w:r>
      <w:r w:rsidR="00DA7857">
        <w:rPr>
          <w:rFonts w:hint="eastAsia"/>
          <w:lang w:eastAsia="ja-JP"/>
        </w:rPr>
        <w:t xml:space="preserve">it was </w:t>
      </w:r>
      <w:r w:rsidR="00687284">
        <w:rPr>
          <w:rFonts w:hint="eastAsia"/>
          <w:lang w:eastAsia="ja-JP"/>
        </w:rPr>
        <w:t xml:space="preserve">never signed.  </w:t>
      </w:r>
      <w:r w:rsidR="00A031EF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Although the terms of </w:t>
      </w:r>
      <w:r w:rsidR="00DA7857">
        <w:rPr>
          <w:rFonts w:hint="eastAsia"/>
          <w:lang w:eastAsia="ja-JP"/>
        </w:rPr>
        <w:t xml:space="preserve">that </w:t>
      </w:r>
      <w:r>
        <w:rPr>
          <w:rFonts w:hint="eastAsia"/>
          <w:lang w:eastAsia="ja-JP"/>
        </w:rPr>
        <w:t xml:space="preserve">contract have not been disclosed, it is reported that the </w:t>
      </w:r>
      <w:r w:rsidRPr="00234608">
        <w:rPr>
          <w:lang w:eastAsia="ja-JP"/>
        </w:rPr>
        <w:t xml:space="preserve">contracts allow </w:t>
      </w:r>
      <w:r>
        <w:rPr>
          <w:rFonts w:hint="eastAsia"/>
          <w:lang w:eastAsia="ja-JP"/>
        </w:rPr>
        <w:t xml:space="preserve">the contractor </w:t>
      </w:r>
      <w:r w:rsidRPr="00234608">
        <w:rPr>
          <w:lang w:eastAsia="ja-JP"/>
        </w:rPr>
        <w:t xml:space="preserve">to recoup their investment expenses quicker than under </w:t>
      </w:r>
      <w:r w:rsidR="00687284">
        <w:rPr>
          <w:rFonts w:hint="eastAsia"/>
          <w:lang w:eastAsia="ja-JP"/>
        </w:rPr>
        <w:t>the first and second generation Buyback Contracts, and to significantly decrease the IOC share of risk</w:t>
      </w:r>
      <w:r w:rsidRPr="00234608">
        <w:rPr>
          <w:lang w:eastAsia="ja-JP"/>
        </w:rPr>
        <w:t xml:space="preserve">. </w:t>
      </w:r>
      <w:r>
        <w:rPr>
          <w:rFonts w:hint="eastAsia"/>
          <w:lang w:eastAsia="ja-JP"/>
        </w:rPr>
        <w:t xml:space="preserve"> </w:t>
      </w:r>
    </w:p>
    <w:p w:rsidR="006F5AD7" w:rsidRDefault="00234608" w:rsidP="00687284">
      <w:pPr>
        <w:pStyle w:val="BodyTextLeft"/>
        <w:rPr>
          <w:lang w:eastAsia="ja-JP"/>
        </w:rPr>
      </w:pPr>
      <w:r w:rsidRPr="00234608">
        <w:rPr>
          <w:rFonts w:hint="eastAsia"/>
          <w:lang w:eastAsia="ja-JP"/>
        </w:rPr>
        <w:t>The</w:t>
      </w:r>
      <w:r>
        <w:rPr>
          <w:rFonts w:hint="eastAsia"/>
          <w:b/>
          <w:bCs/>
          <w:lang w:eastAsia="ja-JP"/>
        </w:rPr>
        <w:t xml:space="preserve"> </w:t>
      </w:r>
      <w:r>
        <w:rPr>
          <w:rFonts w:hint="eastAsia"/>
          <w:lang w:eastAsia="ja-JP"/>
        </w:rPr>
        <w:t xml:space="preserve">2013 contract is a de facto pilot for </w:t>
      </w:r>
      <w:r w:rsidR="00AB5A1E">
        <w:rPr>
          <w:rFonts w:hint="eastAsia"/>
          <w:lang w:eastAsia="ja-JP"/>
        </w:rPr>
        <w:t xml:space="preserve">the new </w:t>
      </w:r>
      <w:r w:rsidR="00EF730A" w:rsidRPr="00880BCF">
        <w:rPr>
          <w:lang w:eastAsia="ja-JP"/>
        </w:rPr>
        <w:t>Iran Petroleum Contract (IPC)</w:t>
      </w:r>
      <w:r>
        <w:rPr>
          <w:rFonts w:hint="eastAsia"/>
          <w:lang w:eastAsia="ja-JP"/>
        </w:rPr>
        <w:t xml:space="preserve">, which </w:t>
      </w:r>
      <w:r w:rsidR="00AB5A1E">
        <w:rPr>
          <w:rFonts w:hint="eastAsia"/>
          <w:lang w:eastAsia="ja-JP"/>
        </w:rPr>
        <w:t xml:space="preserve">was announced in Tehran by the Ministry of Oil in February 2014.  The specific terms have </w:t>
      </w:r>
      <w:r w:rsidR="00A36A09">
        <w:rPr>
          <w:rFonts w:hint="eastAsia"/>
          <w:lang w:eastAsia="ja-JP"/>
        </w:rPr>
        <w:t xml:space="preserve">not been </w:t>
      </w:r>
      <w:proofErr w:type="spellStart"/>
      <w:r w:rsidR="00687284">
        <w:rPr>
          <w:rFonts w:hint="eastAsia"/>
          <w:lang w:eastAsia="ja-JP"/>
        </w:rPr>
        <w:t>finali</w:t>
      </w:r>
      <w:r w:rsidR="00E12D3F">
        <w:rPr>
          <w:lang w:eastAsia="ja-JP"/>
        </w:rPr>
        <w:t>s</w:t>
      </w:r>
      <w:r w:rsidR="00687284">
        <w:rPr>
          <w:rFonts w:hint="eastAsia"/>
          <w:lang w:eastAsia="ja-JP"/>
        </w:rPr>
        <w:t>ed</w:t>
      </w:r>
      <w:proofErr w:type="spellEnd"/>
      <w:r w:rsidR="00A36A09">
        <w:rPr>
          <w:rFonts w:hint="eastAsia"/>
          <w:lang w:eastAsia="ja-JP"/>
        </w:rPr>
        <w:t xml:space="preserve">, but draft </w:t>
      </w:r>
      <w:r w:rsidR="00687284">
        <w:rPr>
          <w:rFonts w:hint="eastAsia"/>
          <w:lang w:eastAsia="ja-JP"/>
        </w:rPr>
        <w:t xml:space="preserve">terms </w:t>
      </w:r>
      <w:r w:rsidR="00A36A09">
        <w:rPr>
          <w:rFonts w:hint="eastAsia"/>
          <w:lang w:eastAsia="ja-JP"/>
        </w:rPr>
        <w:t xml:space="preserve">have </w:t>
      </w:r>
      <w:r>
        <w:rPr>
          <w:rFonts w:hint="eastAsia"/>
          <w:lang w:eastAsia="ja-JP"/>
        </w:rPr>
        <w:t>apparently been disclosed to some IOCs</w:t>
      </w:r>
      <w:r w:rsidR="00687284">
        <w:rPr>
          <w:rFonts w:hint="eastAsia"/>
          <w:lang w:eastAsia="ja-JP"/>
        </w:rPr>
        <w:t xml:space="preserve">, </w:t>
      </w:r>
      <w:r w:rsidR="00687284">
        <w:rPr>
          <w:lang w:eastAsia="ja-JP"/>
        </w:rPr>
        <w:t>although</w:t>
      </w:r>
      <w:r w:rsidR="00687284">
        <w:rPr>
          <w:rFonts w:hint="eastAsia"/>
          <w:lang w:eastAsia="ja-JP"/>
        </w:rPr>
        <w:t xml:space="preserve"> no contract has yet been ratified by the Cabinet</w:t>
      </w:r>
      <w:r w:rsidR="00853755">
        <w:rPr>
          <w:lang w:eastAsia="ja-JP"/>
        </w:rPr>
        <w:t>.</w:t>
      </w:r>
      <w:r w:rsidR="00A36A09">
        <w:rPr>
          <w:rFonts w:hint="eastAsia"/>
          <w:lang w:eastAsia="ja-JP"/>
        </w:rPr>
        <w:t xml:space="preserve"> </w:t>
      </w:r>
      <w:r w:rsidR="00853755">
        <w:rPr>
          <w:lang w:eastAsia="ja-JP"/>
        </w:rPr>
        <w:t xml:space="preserve"> A</w:t>
      </w:r>
      <w:r w:rsidR="00A36A0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formal public </w:t>
      </w:r>
      <w:r w:rsidR="00AB5A1E">
        <w:rPr>
          <w:lang w:eastAsia="ja-JP"/>
        </w:rPr>
        <w:t>announcement</w:t>
      </w:r>
      <w:r w:rsidR="00AB5A1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and a workshop on the IPC has been repeatedly delayed for reasons that appear to be due to the wait surrounding the </w:t>
      </w:r>
      <w:r w:rsidR="002A77D8" w:rsidRPr="00880BCF">
        <w:rPr>
          <w:lang w:eastAsia="ja-JP"/>
        </w:rPr>
        <w:t xml:space="preserve">outcome of a political resolution on sanctions tied to Iran’s nuclear program.  </w:t>
      </w:r>
      <w:r>
        <w:rPr>
          <w:rFonts w:hint="eastAsia"/>
          <w:lang w:eastAsia="ja-JP"/>
        </w:rPr>
        <w:t>A</w:t>
      </w:r>
      <w:r w:rsidR="002A77D8" w:rsidRPr="00880BCF">
        <w:rPr>
          <w:lang w:eastAsia="ja-JP"/>
        </w:rPr>
        <w:t xml:space="preserve"> </w:t>
      </w:r>
      <w:r w:rsidR="00AB5A1E">
        <w:rPr>
          <w:rFonts w:hint="eastAsia"/>
          <w:lang w:eastAsia="ja-JP"/>
        </w:rPr>
        <w:t>general outline of the terms has been disclosed</w:t>
      </w:r>
      <w:r w:rsidR="00853755">
        <w:rPr>
          <w:lang w:eastAsia="ja-JP"/>
        </w:rPr>
        <w:t>,</w:t>
      </w:r>
      <w:r>
        <w:rPr>
          <w:rFonts w:hint="eastAsia"/>
          <w:lang w:eastAsia="ja-JP"/>
        </w:rPr>
        <w:t xml:space="preserve"> and a </w:t>
      </w:r>
      <w:r w:rsidR="002A77D8" w:rsidRPr="00880BCF">
        <w:rPr>
          <w:lang w:eastAsia="ja-JP"/>
        </w:rPr>
        <w:t xml:space="preserve">number of analysts have comments on </w:t>
      </w:r>
      <w:r>
        <w:rPr>
          <w:rFonts w:hint="eastAsia"/>
          <w:lang w:eastAsia="ja-JP"/>
        </w:rPr>
        <w:t xml:space="preserve">the </w:t>
      </w:r>
      <w:r w:rsidR="002A77D8" w:rsidRPr="00880BCF">
        <w:rPr>
          <w:lang w:eastAsia="ja-JP"/>
        </w:rPr>
        <w:t xml:space="preserve">anticipated </w:t>
      </w:r>
      <w:r>
        <w:rPr>
          <w:rFonts w:hint="eastAsia"/>
          <w:lang w:eastAsia="ja-JP"/>
        </w:rPr>
        <w:t>new framework</w:t>
      </w:r>
      <w:r w:rsidR="001F2972" w:rsidRPr="00880BCF">
        <w:rPr>
          <w:lang w:eastAsia="ja-JP"/>
        </w:rPr>
        <w:t>.</w:t>
      </w:r>
    </w:p>
    <w:p w:rsidR="006F5AD7" w:rsidRDefault="001F2972" w:rsidP="000C402F">
      <w:pPr>
        <w:pStyle w:val="BodyTextLeft"/>
        <w:rPr>
          <w:lang w:eastAsia="ja-JP"/>
        </w:rPr>
      </w:pPr>
      <w:r w:rsidRPr="00880BCF">
        <w:rPr>
          <w:lang w:eastAsia="ja-JP"/>
        </w:rPr>
        <w:t xml:space="preserve">First, </w:t>
      </w:r>
      <w:r w:rsidR="002A77D8" w:rsidRPr="00880BCF">
        <w:rPr>
          <w:lang w:eastAsia="ja-JP"/>
        </w:rPr>
        <w:t xml:space="preserve">regardless of the title that is given to the contract, </w:t>
      </w:r>
      <w:r w:rsidR="00705436" w:rsidRPr="00880BCF">
        <w:rPr>
          <w:lang w:eastAsia="ja-JP"/>
        </w:rPr>
        <w:t xml:space="preserve">the </w:t>
      </w:r>
      <w:r w:rsidR="002A77D8" w:rsidRPr="00880BCF">
        <w:rPr>
          <w:lang w:eastAsia="ja-JP"/>
        </w:rPr>
        <w:t xml:space="preserve">profit and risk structure </w:t>
      </w:r>
      <w:r w:rsidR="00705436" w:rsidRPr="00880BCF">
        <w:rPr>
          <w:lang w:eastAsia="ja-JP"/>
        </w:rPr>
        <w:t>will be similar to a production sharing contract</w:t>
      </w:r>
      <w:r w:rsidR="002A77D8" w:rsidRPr="00880BCF">
        <w:rPr>
          <w:lang w:eastAsia="ja-JP"/>
        </w:rPr>
        <w:t>, which is the “global standard” for the development of oil and gas resources and more popular with IOCs</w:t>
      </w:r>
      <w:r w:rsidRPr="00880BCF">
        <w:rPr>
          <w:lang w:eastAsia="ja-JP"/>
        </w:rPr>
        <w:t>.</w:t>
      </w:r>
    </w:p>
    <w:p w:rsidR="006F5AD7" w:rsidRDefault="00AB5A1E" w:rsidP="00E36C7D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>Also, t</w:t>
      </w:r>
      <w:r w:rsidR="001F2972" w:rsidRPr="00880BCF">
        <w:rPr>
          <w:lang w:eastAsia="ja-JP"/>
        </w:rPr>
        <w:t xml:space="preserve">he structure will be a joint venture </w:t>
      </w:r>
      <w:r w:rsidR="000F5FC2">
        <w:rPr>
          <w:rFonts w:hint="eastAsia"/>
          <w:lang w:eastAsia="ja-JP"/>
        </w:rPr>
        <w:t xml:space="preserve">established </w:t>
      </w:r>
      <w:r w:rsidR="001F2972" w:rsidRPr="00880BCF">
        <w:rPr>
          <w:lang w:eastAsia="ja-JP"/>
        </w:rPr>
        <w:t xml:space="preserve">with the </w:t>
      </w:r>
      <w:r w:rsidR="00320D98">
        <w:rPr>
          <w:rFonts w:hint="eastAsia"/>
          <w:lang w:eastAsia="ja-JP"/>
        </w:rPr>
        <w:t xml:space="preserve">NIOC </w:t>
      </w:r>
      <w:r w:rsidR="00A36A09">
        <w:rPr>
          <w:rFonts w:hint="eastAsia"/>
          <w:lang w:eastAsia="ja-JP"/>
        </w:rPr>
        <w:t>or one of its group companies</w:t>
      </w:r>
      <w:r w:rsidR="000F5FC2">
        <w:rPr>
          <w:rFonts w:hint="eastAsia"/>
          <w:lang w:eastAsia="ja-JP"/>
        </w:rPr>
        <w:t xml:space="preserve"> after the exploration stage</w:t>
      </w:r>
      <w:r>
        <w:rPr>
          <w:rFonts w:hint="eastAsia"/>
          <w:lang w:eastAsia="ja-JP"/>
        </w:rPr>
        <w:t xml:space="preserve">.  This will follow </w:t>
      </w:r>
      <w:r w:rsidR="001F2972" w:rsidRPr="00880BCF">
        <w:rPr>
          <w:lang w:eastAsia="ja-JP"/>
        </w:rPr>
        <w:t xml:space="preserve">a common strategy of developing countries to bring IOCs into joint ventures to </w:t>
      </w:r>
      <w:r w:rsidR="00863153">
        <w:rPr>
          <w:rFonts w:hint="eastAsia"/>
          <w:lang w:eastAsia="ja-JP"/>
        </w:rPr>
        <w:t xml:space="preserve">allow </w:t>
      </w:r>
      <w:r w:rsidR="00E26259">
        <w:rPr>
          <w:lang w:eastAsia="ja-JP"/>
        </w:rPr>
        <w:t>the transfer of technology and know-how</w:t>
      </w:r>
      <w:r w:rsidR="001F2972" w:rsidRPr="00880BCF">
        <w:rPr>
          <w:lang w:eastAsia="ja-JP"/>
        </w:rPr>
        <w:t>.</w:t>
      </w:r>
      <w:r>
        <w:rPr>
          <w:rFonts w:hint="eastAsia"/>
          <w:lang w:eastAsia="ja-JP"/>
        </w:rPr>
        <w:t xml:space="preserve">  This is </w:t>
      </w:r>
      <w:r w:rsidR="00A36A09">
        <w:rPr>
          <w:rFonts w:hint="eastAsia"/>
          <w:lang w:eastAsia="ja-JP"/>
        </w:rPr>
        <w:t xml:space="preserve">also </w:t>
      </w:r>
      <w:r>
        <w:rPr>
          <w:rFonts w:hint="eastAsia"/>
          <w:lang w:eastAsia="ja-JP"/>
        </w:rPr>
        <w:t xml:space="preserve">part of moving the IPC towards a system that shares both the </w:t>
      </w:r>
      <w:r w:rsidR="002D1C62">
        <w:rPr>
          <w:rFonts w:hint="eastAsia"/>
          <w:lang w:eastAsia="ja-JP"/>
        </w:rPr>
        <w:t>risk and the profit between Iran and the IOCs</w:t>
      </w:r>
      <w:r w:rsidR="00EC2297">
        <w:rPr>
          <w:lang w:eastAsia="ja-JP"/>
        </w:rPr>
        <w:t>,</w:t>
      </w:r>
      <w:r w:rsidR="002D1C62">
        <w:rPr>
          <w:rFonts w:hint="eastAsia"/>
          <w:lang w:eastAsia="ja-JP"/>
        </w:rPr>
        <w:t xml:space="preserve"> a key element to aligning the interests of both parties over the life of the contract</w:t>
      </w:r>
      <w:r w:rsidR="00EC2297">
        <w:rPr>
          <w:lang w:eastAsia="ja-JP"/>
        </w:rPr>
        <w:t>.</w:t>
      </w:r>
      <w:r w:rsidR="002D1C62">
        <w:rPr>
          <w:rFonts w:hint="eastAsia"/>
          <w:lang w:eastAsia="ja-JP"/>
        </w:rPr>
        <w:t xml:space="preserve"> </w:t>
      </w:r>
      <w:r w:rsidR="00A93145">
        <w:rPr>
          <w:lang w:eastAsia="ja-JP"/>
        </w:rPr>
        <w:t xml:space="preserve"> The contract</w:t>
      </w:r>
      <w:r w:rsidR="002D1C62">
        <w:rPr>
          <w:rFonts w:hint="eastAsia"/>
          <w:lang w:eastAsia="ja-JP"/>
        </w:rPr>
        <w:t xml:space="preserve"> is now expected to be </w:t>
      </w:r>
      <w:r w:rsidR="00705436" w:rsidRPr="00880BCF">
        <w:rPr>
          <w:lang w:eastAsia="ja-JP"/>
        </w:rPr>
        <w:t xml:space="preserve">long-term, with </w:t>
      </w:r>
      <w:r w:rsidR="007F302B">
        <w:rPr>
          <w:lang w:eastAsia="ja-JP"/>
        </w:rPr>
        <w:t xml:space="preserve">a </w:t>
      </w:r>
      <w:r w:rsidR="00705436" w:rsidRPr="00880BCF">
        <w:rPr>
          <w:lang w:eastAsia="ja-JP"/>
        </w:rPr>
        <w:t>20</w:t>
      </w:r>
      <w:r w:rsidR="00DF4775">
        <w:rPr>
          <w:lang w:eastAsia="ja-JP"/>
        </w:rPr>
        <w:t>–</w:t>
      </w:r>
      <w:r w:rsidR="00705436" w:rsidRPr="00880BCF">
        <w:rPr>
          <w:lang w:eastAsia="ja-JP"/>
        </w:rPr>
        <w:t>25 year period having been indicated</w:t>
      </w:r>
      <w:r w:rsidR="001F2972" w:rsidRPr="00880BCF">
        <w:rPr>
          <w:lang w:eastAsia="ja-JP"/>
        </w:rPr>
        <w:t>.</w:t>
      </w:r>
    </w:p>
    <w:p w:rsidR="006F5AD7" w:rsidRDefault="002A77D8" w:rsidP="000F5FC2">
      <w:pPr>
        <w:pStyle w:val="BodyTextLeft"/>
        <w:rPr>
          <w:lang w:eastAsia="ja-JP"/>
        </w:rPr>
      </w:pPr>
      <w:r w:rsidRPr="00880BCF">
        <w:rPr>
          <w:lang w:eastAsia="ja-JP"/>
        </w:rPr>
        <w:lastRenderedPageBreak/>
        <w:t xml:space="preserve">Contractors </w:t>
      </w:r>
      <w:r w:rsidR="000F5FC2">
        <w:rPr>
          <w:rFonts w:hint="eastAsia"/>
          <w:lang w:eastAsia="ja-JP"/>
        </w:rPr>
        <w:t>may paid both in cash an</w:t>
      </w:r>
      <w:r w:rsidR="00863153">
        <w:rPr>
          <w:rFonts w:hint="eastAsia"/>
          <w:lang w:eastAsia="ja-JP"/>
        </w:rPr>
        <w:t>d</w:t>
      </w:r>
      <w:r w:rsidR="000F5FC2">
        <w:rPr>
          <w:rFonts w:hint="eastAsia"/>
          <w:lang w:eastAsia="ja-JP"/>
        </w:rPr>
        <w:t xml:space="preserve"> in-kind with </w:t>
      </w:r>
      <w:r w:rsidR="00331660">
        <w:rPr>
          <w:rFonts w:hint="eastAsia"/>
          <w:lang w:eastAsia="ja-JP"/>
        </w:rPr>
        <w:t>crude oil</w:t>
      </w:r>
      <w:r w:rsidR="000F5FC2">
        <w:rPr>
          <w:rFonts w:hint="eastAsia"/>
          <w:lang w:eastAsia="ja-JP"/>
        </w:rPr>
        <w:t>,</w:t>
      </w:r>
      <w:r w:rsidR="00331660">
        <w:rPr>
          <w:rFonts w:hint="eastAsia"/>
          <w:lang w:eastAsia="ja-JP"/>
        </w:rPr>
        <w:t xml:space="preserve"> and may be </w:t>
      </w:r>
      <w:r w:rsidR="000F5FC2">
        <w:rPr>
          <w:rFonts w:hint="eastAsia"/>
          <w:lang w:eastAsia="ja-JP"/>
        </w:rPr>
        <w:t xml:space="preserve">expected </w:t>
      </w:r>
      <w:r w:rsidR="00331660">
        <w:rPr>
          <w:rFonts w:hint="eastAsia"/>
          <w:lang w:eastAsia="ja-JP"/>
        </w:rPr>
        <w:t xml:space="preserve">to market some of the share provided to the NIOC joint venture partner. </w:t>
      </w:r>
    </w:p>
    <w:p w:rsidR="006F5AD7" w:rsidRDefault="001F2972" w:rsidP="00E36C7D">
      <w:pPr>
        <w:pStyle w:val="BodyTextLeft"/>
        <w:rPr>
          <w:lang w:eastAsia="ja-JP"/>
        </w:rPr>
      </w:pPr>
      <w:r w:rsidRPr="00880BCF">
        <w:rPr>
          <w:lang w:eastAsia="ja-JP"/>
        </w:rPr>
        <w:t xml:space="preserve">Contractors </w:t>
      </w:r>
      <w:r w:rsidR="000F5FC2">
        <w:rPr>
          <w:rFonts w:hint="eastAsia"/>
          <w:lang w:eastAsia="ja-JP"/>
        </w:rPr>
        <w:t xml:space="preserve">may even </w:t>
      </w:r>
      <w:r w:rsidRPr="00880BCF">
        <w:rPr>
          <w:lang w:eastAsia="ja-JP"/>
        </w:rPr>
        <w:t>be able to book reserves</w:t>
      </w:r>
      <w:r w:rsidR="00331660">
        <w:rPr>
          <w:rFonts w:hint="eastAsia"/>
          <w:lang w:eastAsia="ja-JP"/>
        </w:rPr>
        <w:t xml:space="preserve"> under the IPC</w:t>
      </w:r>
      <w:r w:rsidRPr="00880BCF">
        <w:rPr>
          <w:lang w:eastAsia="ja-JP"/>
        </w:rPr>
        <w:t>.  The Iranian Constitution provides that natural resources are owned by the state, which is in</w:t>
      </w:r>
      <w:r w:rsidR="007F302B">
        <w:rPr>
          <w:lang w:eastAsia="ja-JP"/>
        </w:rPr>
        <w:t xml:space="preserve"> </w:t>
      </w:r>
      <w:r w:rsidRPr="00880BCF">
        <w:rPr>
          <w:lang w:eastAsia="ja-JP"/>
        </w:rPr>
        <w:t xml:space="preserve">line with the limitation </w:t>
      </w:r>
      <w:r w:rsidR="002D2A82">
        <w:rPr>
          <w:lang w:eastAsia="ja-JP"/>
        </w:rPr>
        <w:t>on</w:t>
      </w:r>
      <w:r w:rsidRPr="00880BCF">
        <w:rPr>
          <w:lang w:eastAsia="ja-JP"/>
        </w:rPr>
        <w:t xml:space="preserve"> granting concessions to foreign contractors.  However, the IPC will include provisions allowing transfer of ownership of hydrocarbons to the foreign partner at defined delivery points</w:t>
      </w:r>
      <w:r w:rsidR="002D2A82">
        <w:rPr>
          <w:lang w:eastAsia="ja-JP"/>
        </w:rPr>
        <w:t xml:space="preserve"> —</w:t>
      </w:r>
      <w:r w:rsidRPr="00880BCF">
        <w:rPr>
          <w:lang w:eastAsia="ja-JP"/>
        </w:rPr>
        <w:t xml:space="preserve"> similar to the structure used in Abu Dhabi and Kurdistan.  This should be enough for most IOCs to conclude that they can book reserves held under the contract</w:t>
      </w:r>
      <w:r w:rsidR="00863153">
        <w:rPr>
          <w:rFonts w:hint="eastAsia"/>
          <w:lang w:eastAsia="ja-JP"/>
        </w:rPr>
        <w:t xml:space="preserve"> (even though Iran will likely assert, and may even say in the IPC, that this is not allowed)</w:t>
      </w:r>
      <w:r w:rsidRPr="00880BCF">
        <w:rPr>
          <w:lang w:eastAsia="ja-JP"/>
        </w:rPr>
        <w:t>.</w:t>
      </w:r>
    </w:p>
    <w:p w:rsidR="006F5AD7" w:rsidRDefault="004945E2" w:rsidP="004945E2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>T</w:t>
      </w:r>
      <w:r w:rsidR="00A36A09">
        <w:rPr>
          <w:rFonts w:hint="eastAsia"/>
          <w:lang w:eastAsia="ja-JP"/>
        </w:rPr>
        <w:t xml:space="preserve">here </w:t>
      </w:r>
      <w:r w:rsidR="00690AF3">
        <w:rPr>
          <w:rFonts w:hint="eastAsia"/>
          <w:lang w:eastAsia="ja-JP"/>
        </w:rPr>
        <w:t xml:space="preserve">are expected to be </w:t>
      </w:r>
      <w:r w:rsidR="00A36A09">
        <w:rPr>
          <w:rFonts w:hint="eastAsia"/>
          <w:lang w:eastAsia="ja-JP"/>
        </w:rPr>
        <w:t>l</w:t>
      </w:r>
      <w:r w:rsidR="002A77D8" w:rsidRPr="00880BCF">
        <w:rPr>
          <w:lang w:eastAsia="ja-JP"/>
        </w:rPr>
        <w:t xml:space="preserve">ocal </w:t>
      </w:r>
      <w:r w:rsidR="00690AF3">
        <w:rPr>
          <w:lang w:eastAsia="ja-JP"/>
        </w:rPr>
        <w:t>content requirement</w:t>
      </w:r>
      <w:r w:rsidR="00690AF3">
        <w:rPr>
          <w:rFonts w:hint="eastAsia"/>
          <w:lang w:eastAsia="ja-JP"/>
        </w:rPr>
        <w:t xml:space="preserve">s </w:t>
      </w:r>
      <w:r w:rsidR="002A77D8" w:rsidRPr="00880BCF">
        <w:rPr>
          <w:lang w:eastAsia="ja-JP"/>
        </w:rPr>
        <w:t xml:space="preserve">and the </w:t>
      </w:r>
      <w:r w:rsidR="00690AF3">
        <w:rPr>
          <w:rFonts w:hint="eastAsia"/>
          <w:lang w:eastAsia="ja-JP"/>
        </w:rPr>
        <w:t xml:space="preserve">mandatory </w:t>
      </w:r>
      <w:r w:rsidR="002A77D8" w:rsidRPr="00880BCF">
        <w:rPr>
          <w:lang w:eastAsia="ja-JP"/>
        </w:rPr>
        <w:t xml:space="preserve">use </w:t>
      </w:r>
      <w:r w:rsidR="00690AF3">
        <w:rPr>
          <w:rFonts w:hint="eastAsia"/>
          <w:lang w:eastAsia="ja-JP"/>
        </w:rPr>
        <w:t xml:space="preserve">of </w:t>
      </w:r>
      <w:r w:rsidR="002A77D8" w:rsidRPr="00880BCF">
        <w:rPr>
          <w:lang w:eastAsia="ja-JP"/>
        </w:rPr>
        <w:t>local contractors</w:t>
      </w:r>
      <w:r w:rsidR="0041514C">
        <w:rPr>
          <w:lang w:eastAsia="ja-JP"/>
        </w:rPr>
        <w:t>.</w:t>
      </w:r>
      <w:r w:rsidR="002A77D8" w:rsidRPr="00880BCF">
        <w:rPr>
          <w:lang w:eastAsia="ja-JP"/>
        </w:rPr>
        <w:t xml:space="preserve"> </w:t>
      </w:r>
      <w:r w:rsidR="0041514C">
        <w:rPr>
          <w:lang w:eastAsia="ja-JP"/>
        </w:rPr>
        <w:t xml:space="preserve"> </w:t>
      </w:r>
      <w:r>
        <w:rPr>
          <w:rFonts w:hint="eastAsia"/>
          <w:lang w:eastAsia="ja-JP"/>
        </w:rPr>
        <w:t>S</w:t>
      </w:r>
      <w:r w:rsidR="00A36A09">
        <w:rPr>
          <w:rFonts w:hint="eastAsia"/>
          <w:lang w:eastAsia="ja-JP"/>
        </w:rPr>
        <w:t>uch requirements are common</w:t>
      </w:r>
      <w:r w:rsidR="00690AF3">
        <w:rPr>
          <w:rFonts w:hint="eastAsia"/>
          <w:lang w:eastAsia="ja-JP"/>
        </w:rPr>
        <w:t xml:space="preserve"> in the global oil and gas industry</w:t>
      </w:r>
      <w:r w:rsidR="00F978F8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 </w:t>
      </w:r>
      <w:r w:rsidRPr="004945E2">
        <w:rPr>
          <w:lang w:eastAsia="ja-JP"/>
        </w:rPr>
        <w:t xml:space="preserve">Surprisingly, one of the unintended consequences of sanctions was the improvement in Iran’s domestic oil and gas </w:t>
      </w:r>
      <w:r>
        <w:rPr>
          <w:rFonts w:hint="eastAsia"/>
          <w:lang w:eastAsia="ja-JP"/>
        </w:rPr>
        <w:t xml:space="preserve">contractors and </w:t>
      </w:r>
      <w:r w:rsidRPr="004945E2">
        <w:rPr>
          <w:lang w:eastAsia="ja-JP"/>
        </w:rPr>
        <w:t xml:space="preserve">machinery </w:t>
      </w:r>
      <w:r>
        <w:rPr>
          <w:rFonts w:hint="eastAsia"/>
          <w:lang w:eastAsia="ja-JP"/>
        </w:rPr>
        <w:t xml:space="preserve">manufacturers, and some IOC delegations were </w:t>
      </w:r>
      <w:r w:rsidRPr="004945E2">
        <w:rPr>
          <w:lang w:eastAsia="ja-JP"/>
        </w:rPr>
        <w:t xml:space="preserve">impressed to meet domestic companies capable </w:t>
      </w:r>
      <w:r>
        <w:rPr>
          <w:lang w:eastAsia="ja-JP"/>
        </w:rPr>
        <w:t>of producing advanced equipment</w:t>
      </w:r>
      <w:r w:rsidRPr="004945E2">
        <w:rPr>
          <w:lang w:eastAsia="ja-JP"/>
        </w:rPr>
        <w:t xml:space="preserve">, </w:t>
      </w:r>
      <w:r>
        <w:rPr>
          <w:rFonts w:hint="eastAsia"/>
          <w:lang w:eastAsia="ja-JP"/>
        </w:rPr>
        <w:t xml:space="preserve">including </w:t>
      </w:r>
      <w:r w:rsidRPr="004945E2">
        <w:rPr>
          <w:lang w:eastAsia="ja-JP"/>
        </w:rPr>
        <w:t xml:space="preserve">drilling platforms currently used in </w:t>
      </w:r>
      <w:r>
        <w:rPr>
          <w:rFonts w:hint="eastAsia"/>
          <w:lang w:eastAsia="ja-JP"/>
        </w:rPr>
        <w:t xml:space="preserve">the offshore </w:t>
      </w:r>
      <w:r w:rsidRPr="004945E2">
        <w:rPr>
          <w:lang w:eastAsia="ja-JP"/>
        </w:rPr>
        <w:t>South Pars Phase 12</w:t>
      </w:r>
      <w:r>
        <w:rPr>
          <w:rFonts w:hint="eastAsia"/>
          <w:lang w:eastAsia="ja-JP"/>
        </w:rPr>
        <w:t xml:space="preserve"> development</w:t>
      </w:r>
      <w:r w:rsidRPr="004945E2">
        <w:rPr>
          <w:lang w:eastAsia="ja-JP"/>
        </w:rPr>
        <w:t>.</w:t>
      </w:r>
    </w:p>
    <w:p w:rsidR="006F5AD7" w:rsidRDefault="00A36A09" w:rsidP="00D16A6F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>D</w:t>
      </w:r>
      <w:r w:rsidR="002A77D8" w:rsidRPr="00880BCF">
        <w:rPr>
          <w:lang w:eastAsia="ja-JP"/>
        </w:rPr>
        <w:t>isputes in Buyback Contracts were subject to resolution in Iran</w:t>
      </w:r>
      <w:r w:rsidR="00EC2297">
        <w:rPr>
          <w:lang w:eastAsia="ja-JP"/>
        </w:rPr>
        <w:t>ian</w:t>
      </w:r>
      <w:r w:rsidR="002A77D8" w:rsidRPr="00880BCF">
        <w:rPr>
          <w:lang w:eastAsia="ja-JP"/>
        </w:rPr>
        <w:t xml:space="preserve"> courts</w:t>
      </w:r>
      <w:r w:rsidR="00AE6595">
        <w:rPr>
          <w:rFonts w:hint="eastAsia"/>
          <w:lang w:eastAsia="ja-JP"/>
        </w:rPr>
        <w:t xml:space="preserve">.  </w:t>
      </w:r>
      <w:r w:rsidR="00D16A6F">
        <w:rPr>
          <w:rFonts w:hint="eastAsia"/>
          <w:lang w:eastAsia="ja-JP"/>
        </w:rPr>
        <w:t xml:space="preserve">International arbitration in a neutral jurisdiction and in a trusted forum is naturally ideal, and </w:t>
      </w:r>
      <w:r w:rsidR="00AE6595">
        <w:rPr>
          <w:rFonts w:hint="eastAsia"/>
          <w:lang w:eastAsia="ja-JP"/>
        </w:rPr>
        <w:t xml:space="preserve">Iran is </w:t>
      </w:r>
      <w:r w:rsidR="000F5FC2">
        <w:rPr>
          <w:rFonts w:hint="eastAsia"/>
          <w:lang w:eastAsia="ja-JP"/>
        </w:rPr>
        <w:t>a party to the New York Convention as of 2001</w:t>
      </w:r>
      <w:r w:rsidR="00D16A6F">
        <w:rPr>
          <w:rFonts w:hint="eastAsia"/>
          <w:lang w:eastAsia="ja-JP"/>
        </w:rPr>
        <w:t xml:space="preserve">.  Iran </w:t>
      </w:r>
      <w:r w:rsidR="000F5FC2">
        <w:rPr>
          <w:rFonts w:hint="eastAsia"/>
          <w:lang w:eastAsia="ja-JP"/>
        </w:rPr>
        <w:t xml:space="preserve">is </w:t>
      </w:r>
      <w:r w:rsidR="00AE6595">
        <w:rPr>
          <w:rFonts w:hint="eastAsia"/>
          <w:lang w:eastAsia="ja-JP"/>
        </w:rPr>
        <w:t>not a party to the ICSID Convention</w:t>
      </w:r>
      <w:r w:rsidR="000F5FC2">
        <w:rPr>
          <w:rFonts w:hint="eastAsia"/>
          <w:lang w:eastAsia="ja-JP"/>
        </w:rPr>
        <w:t xml:space="preserve">, and so foreign investors would have to rely on </w:t>
      </w:r>
      <w:r w:rsidR="000F5FC2" w:rsidRPr="000F5FC2">
        <w:rPr>
          <w:lang w:eastAsia="ja-JP"/>
        </w:rPr>
        <w:t xml:space="preserve">Iran’s Foreign Investment Promotion and Protection Act </w:t>
      </w:r>
      <w:r w:rsidR="000F5FC2">
        <w:rPr>
          <w:rFonts w:hint="eastAsia"/>
          <w:lang w:eastAsia="ja-JP"/>
        </w:rPr>
        <w:t xml:space="preserve">which allows </w:t>
      </w:r>
      <w:r w:rsidR="000F5FC2" w:rsidRPr="000F5FC2">
        <w:rPr>
          <w:lang w:eastAsia="ja-JP"/>
        </w:rPr>
        <w:t xml:space="preserve">foreign investors to </w:t>
      </w:r>
      <w:r w:rsidR="000F5FC2">
        <w:rPr>
          <w:rFonts w:hint="eastAsia"/>
          <w:lang w:eastAsia="ja-JP"/>
        </w:rPr>
        <w:t xml:space="preserve">petition </w:t>
      </w:r>
      <w:r w:rsidR="000F5FC2" w:rsidRPr="000F5FC2">
        <w:rPr>
          <w:lang w:eastAsia="ja-JP"/>
        </w:rPr>
        <w:t xml:space="preserve">international tribunals </w:t>
      </w:r>
      <w:r w:rsidR="000F5FC2">
        <w:rPr>
          <w:rFonts w:hint="eastAsia"/>
          <w:lang w:eastAsia="ja-JP"/>
        </w:rPr>
        <w:t xml:space="preserve">pursuant to </w:t>
      </w:r>
      <w:r w:rsidR="00D16A6F">
        <w:rPr>
          <w:rFonts w:hint="eastAsia"/>
          <w:lang w:eastAsia="ja-JP"/>
        </w:rPr>
        <w:t>bilateral investment treaties</w:t>
      </w:r>
      <w:r w:rsidR="000F5FC2">
        <w:rPr>
          <w:rFonts w:hint="eastAsia"/>
          <w:lang w:eastAsia="ja-JP"/>
        </w:rPr>
        <w:t xml:space="preserve">, which Iran has signed with a number of </w:t>
      </w:r>
      <w:r w:rsidR="00D16A6F">
        <w:rPr>
          <w:rFonts w:hint="eastAsia"/>
          <w:lang w:eastAsia="ja-JP"/>
        </w:rPr>
        <w:t xml:space="preserve">countries including many </w:t>
      </w:r>
      <w:r w:rsidR="000F5FC2" w:rsidRPr="000F5FC2">
        <w:rPr>
          <w:lang w:eastAsia="ja-JP"/>
        </w:rPr>
        <w:t>European countries.</w:t>
      </w:r>
    </w:p>
    <w:p w:rsidR="00AE6595" w:rsidRPr="00880BCF" w:rsidRDefault="00AE6595" w:rsidP="00EC556B">
      <w:pPr>
        <w:pStyle w:val="Subheader"/>
      </w:pPr>
      <w:r>
        <w:rPr>
          <w:rFonts w:hint="eastAsia"/>
        </w:rPr>
        <w:t>Model for the Future</w:t>
      </w:r>
    </w:p>
    <w:p w:rsidR="006F5AD7" w:rsidRDefault="00AE6595" w:rsidP="000C402F">
      <w:pPr>
        <w:pStyle w:val="BodyTextLeft"/>
      </w:pPr>
      <w:r>
        <w:rPr>
          <w:rFonts w:hint="eastAsia"/>
          <w:lang w:eastAsia="ja-JP"/>
        </w:rPr>
        <w:t xml:space="preserve">Regardless of the terms of any contracts, </w:t>
      </w:r>
      <w:r w:rsidRPr="00666FC2">
        <w:rPr>
          <w:lang w:eastAsia="ja-JP"/>
        </w:rPr>
        <w:t xml:space="preserve">Iran </w:t>
      </w:r>
      <w:r>
        <w:rPr>
          <w:rFonts w:hint="eastAsia"/>
          <w:lang w:eastAsia="ja-JP"/>
        </w:rPr>
        <w:t xml:space="preserve">will be unlikely to secure any new </w:t>
      </w:r>
      <w:r w:rsidRPr="00666FC2">
        <w:rPr>
          <w:lang w:eastAsia="ja-JP"/>
        </w:rPr>
        <w:t xml:space="preserve">oil and gas investment </w:t>
      </w:r>
      <w:r>
        <w:rPr>
          <w:rFonts w:hint="eastAsia"/>
          <w:lang w:eastAsia="ja-JP"/>
        </w:rPr>
        <w:t xml:space="preserve">from IOCs until </w:t>
      </w:r>
      <w:r w:rsidRPr="00666FC2">
        <w:rPr>
          <w:lang w:eastAsia="ja-JP"/>
        </w:rPr>
        <w:t xml:space="preserve">it reaches a </w:t>
      </w:r>
      <w:r>
        <w:rPr>
          <w:lang w:eastAsia="ja-JP"/>
        </w:rPr>
        <w:t>comprehensive</w:t>
      </w:r>
      <w:r>
        <w:rPr>
          <w:rFonts w:hint="eastAsia"/>
          <w:lang w:eastAsia="ja-JP"/>
        </w:rPr>
        <w:t xml:space="preserve"> political solution </w:t>
      </w:r>
      <w:r w:rsidRPr="00666FC2">
        <w:rPr>
          <w:lang w:eastAsia="ja-JP"/>
        </w:rPr>
        <w:t xml:space="preserve">with </w:t>
      </w:r>
      <w:r>
        <w:rPr>
          <w:rFonts w:hint="eastAsia"/>
          <w:lang w:eastAsia="ja-JP"/>
        </w:rPr>
        <w:t xml:space="preserve">P5+1 group.  For this reason, although a workshop to explain </w:t>
      </w:r>
      <w:r>
        <w:rPr>
          <w:lang w:eastAsia="ja-JP"/>
        </w:rPr>
        <w:t>the</w:t>
      </w:r>
      <w:r>
        <w:rPr>
          <w:rFonts w:hint="eastAsia"/>
          <w:lang w:eastAsia="ja-JP"/>
        </w:rPr>
        <w:t xml:space="preserve"> </w:t>
      </w:r>
      <w:r w:rsidR="00705436" w:rsidRPr="00880BCF">
        <w:t xml:space="preserve">new </w:t>
      </w:r>
      <w:r>
        <w:rPr>
          <w:rFonts w:hint="eastAsia"/>
          <w:lang w:eastAsia="ja-JP"/>
        </w:rPr>
        <w:t xml:space="preserve">IPC was </w:t>
      </w:r>
      <w:r w:rsidR="00705436" w:rsidRPr="00880BCF">
        <w:rPr>
          <w:lang w:eastAsia="ja-JP"/>
        </w:rPr>
        <w:t xml:space="preserve">promised </w:t>
      </w:r>
      <w:r>
        <w:rPr>
          <w:rFonts w:hint="eastAsia"/>
          <w:lang w:eastAsia="ja-JP"/>
        </w:rPr>
        <w:t xml:space="preserve">on several occasions in 2014, the event has been </w:t>
      </w:r>
      <w:r w:rsidR="00705436" w:rsidRPr="00880BCF">
        <w:rPr>
          <w:lang w:eastAsia="ja-JP"/>
        </w:rPr>
        <w:t>repeatedly delayed</w:t>
      </w:r>
      <w:r>
        <w:rPr>
          <w:rFonts w:hint="eastAsia"/>
          <w:lang w:eastAsia="ja-JP"/>
        </w:rPr>
        <w:t>.  At this point</w:t>
      </w:r>
      <w:r w:rsidR="00F6744B"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="007835F2">
        <w:rPr>
          <w:rFonts w:hint="eastAsia"/>
          <w:lang w:eastAsia="ja-JP"/>
        </w:rPr>
        <w:t xml:space="preserve">no such workshop </w:t>
      </w:r>
      <w:r w:rsidR="00705436" w:rsidRPr="00880BCF">
        <w:rPr>
          <w:lang w:eastAsia="ja-JP"/>
        </w:rPr>
        <w:t>is expected</w:t>
      </w:r>
      <w:r w:rsidR="009E6AB5">
        <w:rPr>
          <w:lang w:eastAsia="ja-JP"/>
        </w:rPr>
        <w:t xml:space="preserve"> prior to the June 2015 </w:t>
      </w:r>
      <w:r>
        <w:rPr>
          <w:rFonts w:hint="eastAsia"/>
          <w:lang w:eastAsia="ja-JP"/>
        </w:rPr>
        <w:t>deadline for the P5+1 agreement</w:t>
      </w:r>
      <w:r w:rsidR="009E6AB5">
        <w:rPr>
          <w:rFonts w:hint="eastAsia"/>
          <w:lang w:eastAsia="ja-JP"/>
        </w:rPr>
        <w:t>.</w:t>
      </w:r>
    </w:p>
    <w:p w:rsidR="006F5AD7" w:rsidRDefault="00666FC2" w:rsidP="00436442">
      <w:pPr>
        <w:pStyle w:val="BodyTextLeft"/>
        <w:rPr>
          <w:lang w:eastAsia="ja-JP"/>
        </w:rPr>
      </w:pPr>
      <w:r>
        <w:rPr>
          <w:rFonts w:hint="eastAsia"/>
          <w:lang w:eastAsia="ja-JP"/>
        </w:rPr>
        <w:t>In anticipation of a successful political agreement, d</w:t>
      </w:r>
      <w:r w:rsidR="002A77D8" w:rsidRPr="00880BCF">
        <w:rPr>
          <w:lang w:eastAsia="ja-JP"/>
        </w:rPr>
        <w:t>elegations from a number of non-US IOC companies have visited Iran in recent months</w:t>
      </w:r>
      <w:r w:rsidR="000F5FC2">
        <w:rPr>
          <w:rFonts w:hint="eastAsia"/>
          <w:lang w:eastAsia="ja-JP"/>
        </w:rPr>
        <w:t>, and following the preliminary agreement, a number of US IOC representatives also visited Iran</w:t>
      </w:r>
      <w:r>
        <w:rPr>
          <w:rFonts w:hint="eastAsia"/>
          <w:lang w:eastAsia="ja-JP"/>
        </w:rPr>
        <w:t>.  A</w:t>
      </w:r>
      <w:r w:rsidRPr="00666FC2">
        <w:rPr>
          <w:lang w:eastAsia="ja-JP"/>
        </w:rPr>
        <w:t xml:space="preserve"> final agreement with the P5+1 gr</w:t>
      </w:r>
      <w:r>
        <w:rPr>
          <w:lang w:eastAsia="ja-JP"/>
        </w:rPr>
        <w:t>oup over Iran’s nuclear program</w:t>
      </w:r>
      <w:r>
        <w:rPr>
          <w:rFonts w:hint="eastAsia"/>
          <w:lang w:eastAsia="ja-JP"/>
        </w:rPr>
        <w:t xml:space="preserve"> holds the potential to </w:t>
      </w:r>
      <w:r>
        <w:rPr>
          <w:lang w:eastAsia="ja-JP"/>
        </w:rPr>
        <w:t>open</w:t>
      </w:r>
      <w:r>
        <w:rPr>
          <w:rFonts w:hint="eastAsia"/>
          <w:lang w:eastAsia="ja-JP"/>
        </w:rPr>
        <w:t xml:space="preserve"> </w:t>
      </w:r>
      <w:r w:rsidR="00436442">
        <w:rPr>
          <w:rFonts w:hint="eastAsia"/>
          <w:lang w:eastAsia="ja-JP"/>
        </w:rPr>
        <w:t>this market to the world</w:t>
      </w:r>
      <w:r w:rsidR="00F714B2">
        <w:rPr>
          <w:lang w:eastAsia="ja-JP"/>
        </w:rPr>
        <w:t>.</w:t>
      </w:r>
    </w:p>
    <w:p w:rsidR="00234608" w:rsidRDefault="00E12D3F" w:rsidP="00526E84">
      <w:pPr>
        <w:rPr>
          <w:rFonts w:asciiTheme="majorBidi" w:eastAsia="MS Mincho" w:hAnsiTheme="majorBidi" w:cstheme="majorBidi"/>
          <w:sz w:val="24"/>
          <w:szCs w:val="24"/>
          <w:lang w:eastAsia="ja-JP"/>
        </w:rPr>
      </w:pPr>
      <w:r>
        <w:rPr>
          <w:rFonts w:asciiTheme="majorBidi" w:eastAsia="MS Mincho" w:hAnsiTheme="majorBidi" w:cstheme="majorBidi"/>
          <w:sz w:val="24"/>
          <w:szCs w:val="24"/>
          <w:lang w:eastAsia="ja-JP"/>
        </w:rPr>
        <w:t>Text by:</w:t>
      </w:r>
    </w:p>
    <w:p w:rsidR="00E12D3F" w:rsidRDefault="00E12D3F" w:rsidP="00526E84">
      <w:pPr>
        <w:rPr>
          <w:rFonts w:asciiTheme="majorBidi" w:eastAsia="MS Mincho" w:hAnsiTheme="majorBidi" w:cstheme="majorBidi"/>
          <w:sz w:val="24"/>
          <w:szCs w:val="24"/>
          <w:lang w:eastAsia="ja-JP"/>
        </w:rPr>
      </w:pPr>
    </w:p>
    <w:p w:rsidR="00E12D3F" w:rsidRDefault="00EB46C9" w:rsidP="00E12D3F">
      <w:pPr>
        <w:pStyle w:val="Subheader"/>
      </w:pPr>
      <w:hyperlink r:id="rId7" w:history="1">
        <w:r w:rsidR="00E12D3F" w:rsidRPr="00EC6289">
          <w:rPr>
            <w:rStyle w:val="Hyperlink"/>
          </w:rPr>
          <w:t>James Campbell</w:t>
        </w:r>
      </w:hyperlink>
      <w:r w:rsidR="00E12D3F">
        <w:t>, partner, Pillsbury Winthrop Shaw Pittman</w:t>
      </w:r>
      <w:r w:rsidR="00EC69A7">
        <w:t xml:space="preserve"> LLP</w:t>
      </w:r>
    </w:p>
    <w:p w:rsidR="00E12D3F" w:rsidRPr="00880BCF" w:rsidRDefault="00E12D3F" w:rsidP="00E12D3F">
      <w:pPr>
        <w:pStyle w:val="Subheader"/>
      </w:pPr>
      <w:hyperlink r:id="rId8" w:history="1">
        <w:r w:rsidRPr="00EC6289">
          <w:rPr>
            <w:rStyle w:val="Hyperlink"/>
          </w:rPr>
          <w:t>Chris</w:t>
        </w:r>
        <w:r w:rsidR="00EC69A7">
          <w:rPr>
            <w:rStyle w:val="Hyperlink"/>
          </w:rPr>
          <w:t>topher</w:t>
        </w:r>
        <w:r w:rsidRPr="00EC6289">
          <w:rPr>
            <w:rStyle w:val="Hyperlink"/>
          </w:rPr>
          <w:t xml:space="preserve"> Gunson</w:t>
        </w:r>
      </w:hyperlink>
      <w:r>
        <w:t>, counsel, Pillsbury Winthrop Shaw Pittman</w:t>
      </w:r>
      <w:r w:rsidR="00EC69A7">
        <w:t xml:space="preserve"> LLP</w:t>
      </w:r>
    </w:p>
    <w:p w:rsidR="00E12D3F" w:rsidRPr="00880BCF" w:rsidRDefault="00E12D3F" w:rsidP="00526E84">
      <w:pPr>
        <w:rPr>
          <w:rFonts w:asciiTheme="majorBidi" w:eastAsia="MS Mincho" w:hAnsiTheme="majorBidi" w:cstheme="majorBidi"/>
          <w:sz w:val="24"/>
          <w:szCs w:val="24"/>
          <w:lang w:eastAsia="ja-JP"/>
        </w:rPr>
      </w:pPr>
    </w:p>
    <w:sectPr w:rsidR="00E12D3F" w:rsidRPr="00880BCF" w:rsidSect="00DB619A">
      <w:headerReference w:type="first" r:id="rId9"/>
      <w:pgSz w:w="11907" w:h="16840" w:code="9"/>
      <w:pgMar w:top="1701" w:right="1559" w:bottom="1758" w:left="1559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C9" w:rsidRDefault="00EB46C9">
      <w:r>
        <w:separator/>
      </w:r>
    </w:p>
  </w:endnote>
  <w:endnote w:type="continuationSeparator" w:id="0">
    <w:p w:rsidR="00EB46C9" w:rsidRDefault="00EB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C9" w:rsidRDefault="00EB46C9">
      <w:pPr>
        <w:tabs>
          <w:tab w:val="left" w:pos="425"/>
        </w:tabs>
        <w:spacing w:before="72"/>
      </w:pPr>
      <w:r>
        <w:separator/>
      </w:r>
    </w:p>
  </w:footnote>
  <w:footnote w:type="continuationSeparator" w:id="0">
    <w:p w:rsidR="00EB46C9" w:rsidRDefault="00EB46C9">
      <w:pPr>
        <w:tabs>
          <w:tab w:val="left" w:pos="425"/>
        </w:tabs>
        <w:spacing w:before="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9" w:rsidRDefault="00EC6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B41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C007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7E6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7A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7861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249A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E8A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8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C6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12C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9E8920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084930"/>
    <w:multiLevelType w:val="hybridMultilevel"/>
    <w:tmpl w:val="FB30152C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9224F"/>
    <w:multiLevelType w:val="hybridMultilevel"/>
    <w:tmpl w:val="E676F5EC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C004C"/>
    <w:multiLevelType w:val="hybridMultilevel"/>
    <w:tmpl w:val="28B40198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C2442"/>
    <w:multiLevelType w:val="hybridMultilevel"/>
    <w:tmpl w:val="50BCBF3C"/>
    <w:lvl w:ilvl="0" w:tplc="D518ABF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BC57EBA"/>
    <w:multiLevelType w:val="hybridMultilevel"/>
    <w:tmpl w:val="0C487F90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D4AF9"/>
    <w:multiLevelType w:val="multilevel"/>
    <w:tmpl w:val="0CC431C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9E10C1"/>
    <w:multiLevelType w:val="hybridMultilevel"/>
    <w:tmpl w:val="AB488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664BA"/>
    <w:multiLevelType w:val="hybridMultilevel"/>
    <w:tmpl w:val="1368000C"/>
    <w:lvl w:ilvl="0" w:tplc="D518ABF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17344E"/>
    <w:multiLevelType w:val="hybridMultilevel"/>
    <w:tmpl w:val="C5CCB512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67786"/>
    <w:multiLevelType w:val="multilevel"/>
    <w:tmpl w:val="F330F9D0"/>
    <w:lvl w:ilvl="0">
      <w:start w:val="1"/>
      <w:numFmt w:val="decimal"/>
      <w:pStyle w:val="Schedule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Schedule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ScheduleHeading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upperLetter"/>
      <w:pStyle w:val="ScheduleHeading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ScheduleHeading5"/>
      <w:lvlText w:val="(%5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5">
      <w:start w:val="1"/>
      <w:numFmt w:val="lowerLetter"/>
      <w:pStyle w:val="ScheduleHeading6"/>
      <w:lvlText w:val="(%6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6">
      <w:start w:val="1"/>
      <w:numFmt w:val="lowerRoman"/>
      <w:pStyle w:val="ScheduleHeading7"/>
      <w:lvlText w:val="(%7)"/>
      <w:lvlJc w:val="left"/>
      <w:pPr>
        <w:tabs>
          <w:tab w:val="num" w:pos="4394"/>
        </w:tabs>
        <w:ind w:left="439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50A33A68"/>
    <w:multiLevelType w:val="singleLevel"/>
    <w:tmpl w:val="AA58686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2" w15:restartNumberingAfterBreak="0">
    <w:nsid w:val="533139EF"/>
    <w:multiLevelType w:val="hybridMultilevel"/>
    <w:tmpl w:val="6DD4C5BA"/>
    <w:lvl w:ilvl="0" w:tplc="D518ABF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CD52022"/>
    <w:multiLevelType w:val="singleLevel"/>
    <w:tmpl w:val="48823A8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4" w15:restartNumberingAfterBreak="0">
    <w:nsid w:val="64C52AB7"/>
    <w:multiLevelType w:val="hybridMultilevel"/>
    <w:tmpl w:val="40901FF2"/>
    <w:lvl w:ilvl="0" w:tplc="6520E98C">
      <w:start w:val="6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80F65"/>
    <w:multiLevelType w:val="hybridMultilevel"/>
    <w:tmpl w:val="883A93A6"/>
    <w:lvl w:ilvl="0" w:tplc="D518A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23"/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1"/>
  </w:num>
  <w:num w:numId="10">
    <w:abstractNumId w:val="22"/>
  </w:num>
  <w:num w:numId="11">
    <w:abstractNumId w:val="16"/>
  </w:num>
  <w:num w:numId="12">
    <w:abstractNumId w:val="19"/>
  </w:num>
  <w:num w:numId="13">
    <w:abstractNumId w:val="12"/>
  </w:num>
  <w:num w:numId="14">
    <w:abstractNumId w:val="25"/>
  </w:num>
  <w:num w:numId="15">
    <w:abstractNumId w:val="15"/>
  </w:num>
  <w:num w:numId="16">
    <w:abstractNumId w:val="13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36"/>
    <w:rsid w:val="00011255"/>
    <w:rsid w:val="00011292"/>
    <w:rsid w:val="00015C55"/>
    <w:rsid w:val="00017818"/>
    <w:rsid w:val="00057569"/>
    <w:rsid w:val="00061199"/>
    <w:rsid w:val="000725D8"/>
    <w:rsid w:val="00086C95"/>
    <w:rsid w:val="000A1571"/>
    <w:rsid w:val="000C402F"/>
    <w:rsid w:val="000E1634"/>
    <w:rsid w:val="000F5FC2"/>
    <w:rsid w:val="00146565"/>
    <w:rsid w:val="00160CC1"/>
    <w:rsid w:val="00176A2D"/>
    <w:rsid w:val="0019797B"/>
    <w:rsid w:val="001A4D49"/>
    <w:rsid w:val="001A5B58"/>
    <w:rsid w:val="001B10BE"/>
    <w:rsid w:val="001F2972"/>
    <w:rsid w:val="00234608"/>
    <w:rsid w:val="0024052F"/>
    <w:rsid w:val="00247DE8"/>
    <w:rsid w:val="002600BE"/>
    <w:rsid w:val="00287138"/>
    <w:rsid w:val="002A77D8"/>
    <w:rsid w:val="002B3247"/>
    <w:rsid w:val="002B3C8D"/>
    <w:rsid w:val="002B4F05"/>
    <w:rsid w:val="002D1C62"/>
    <w:rsid w:val="002D2A82"/>
    <w:rsid w:val="002E1D53"/>
    <w:rsid w:val="002E7AFE"/>
    <w:rsid w:val="002F49C4"/>
    <w:rsid w:val="002F6772"/>
    <w:rsid w:val="00320D98"/>
    <w:rsid w:val="0033127B"/>
    <w:rsid w:val="00331660"/>
    <w:rsid w:val="00361F58"/>
    <w:rsid w:val="003C4FFD"/>
    <w:rsid w:val="003F22DD"/>
    <w:rsid w:val="00403E3A"/>
    <w:rsid w:val="0041514C"/>
    <w:rsid w:val="00421ECD"/>
    <w:rsid w:val="00422A4F"/>
    <w:rsid w:val="00436442"/>
    <w:rsid w:val="004942E2"/>
    <w:rsid w:val="004945E2"/>
    <w:rsid w:val="004A4722"/>
    <w:rsid w:val="004A512B"/>
    <w:rsid w:val="004B1E7C"/>
    <w:rsid w:val="004B2F1A"/>
    <w:rsid w:val="004D7CE8"/>
    <w:rsid w:val="004E3A0B"/>
    <w:rsid w:val="004E7BA8"/>
    <w:rsid w:val="004F012B"/>
    <w:rsid w:val="004F31E1"/>
    <w:rsid w:val="00514EEA"/>
    <w:rsid w:val="0052079E"/>
    <w:rsid w:val="005238FC"/>
    <w:rsid w:val="00526E84"/>
    <w:rsid w:val="00564DD2"/>
    <w:rsid w:val="00575316"/>
    <w:rsid w:val="00585A23"/>
    <w:rsid w:val="005C074C"/>
    <w:rsid w:val="00604DF3"/>
    <w:rsid w:val="006066ED"/>
    <w:rsid w:val="00655742"/>
    <w:rsid w:val="00666034"/>
    <w:rsid w:val="00666FC2"/>
    <w:rsid w:val="00687284"/>
    <w:rsid w:val="00690AF3"/>
    <w:rsid w:val="006A1598"/>
    <w:rsid w:val="006C14B5"/>
    <w:rsid w:val="006E6437"/>
    <w:rsid w:val="006F518D"/>
    <w:rsid w:val="006F5AD7"/>
    <w:rsid w:val="006F6D91"/>
    <w:rsid w:val="007002C7"/>
    <w:rsid w:val="00705436"/>
    <w:rsid w:val="007211F3"/>
    <w:rsid w:val="0075224B"/>
    <w:rsid w:val="007835F2"/>
    <w:rsid w:val="007872AA"/>
    <w:rsid w:val="00787DCB"/>
    <w:rsid w:val="007A2E71"/>
    <w:rsid w:val="007B43F0"/>
    <w:rsid w:val="007D195B"/>
    <w:rsid w:val="007E6BAA"/>
    <w:rsid w:val="007F302B"/>
    <w:rsid w:val="008174CB"/>
    <w:rsid w:val="008230EB"/>
    <w:rsid w:val="00853755"/>
    <w:rsid w:val="00854378"/>
    <w:rsid w:val="00863153"/>
    <w:rsid w:val="008724AF"/>
    <w:rsid w:val="00880BCF"/>
    <w:rsid w:val="008831A7"/>
    <w:rsid w:val="008C655F"/>
    <w:rsid w:val="008D5DC8"/>
    <w:rsid w:val="008F0223"/>
    <w:rsid w:val="008F6DFC"/>
    <w:rsid w:val="0090186A"/>
    <w:rsid w:val="0091427D"/>
    <w:rsid w:val="00914F21"/>
    <w:rsid w:val="009415DE"/>
    <w:rsid w:val="00955902"/>
    <w:rsid w:val="0095629D"/>
    <w:rsid w:val="009566CD"/>
    <w:rsid w:val="0096462E"/>
    <w:rsid w:val="009A3F88"/>
    <w:rsid w:val="009E6AB5"/>
    <w:rsid w:val="00A005A0"/>
    <w:rsid w:val="00A031EF"/>
    <w:rsid w:val="00A242FA"/>
    <w:rsid w:val="00A36A09"/>
    <w:rsid w:val="00A607E5"/>
    <w:rsid w:val="00A677CD"/>
    <w:rsid w:val="00A879FB"/>
    <w:rsid w:val="00A93145"/>
    <w:rsid w:val="00AA1A50"/>
    <w:rsid w:val="00AB0E60"/>
    <w:rsid w:val="00AB5A1E"/>
    <w:rsid w:val="00AD09D3"/>
    <w:rsid w:val="00AE6595"/>
    <w:rsid w:val="00AF07CF"/>
    <w:rsid w:val="00AF2A56"/>
    <w:rsid w:val="00B352F7"/>
    <w:rsid w:val="00B571AC"/>
    <w:rsid w:val="00B7228E"/>
    <w:rsid w:val="00B72887"/>
    <w:rsid w:val="00BD0861"/>
    <w:rsid w:val="00BD0E68"/>
    <w:rsid w:val="00BE0FC5"/>
    <w:rsid w:val="00C028E5"/>
    <w:rsid w:val="00C04E93"/>
    <w:rsid w:val="00C177A3"/>
    <w:rsid w:val="00C31982"/>
    <w:rsid w:val="00C85022"/>
    <w:rsid w:val="00CA0E98"/>
    <w:rsid w:val="00CA6122"/>
    <w:rsid w:val="00CB33AF"/>
    <w:rsid w:val="00CB5BD2"/>
    <w:rsid w:val="00CE0223"/>
    <w:rsid w:val="00CF01DA"/>
    <w:rsid w:val="00CF12C2"/>
    <w:rsid w:val="00D03725"/>
    <w:rsid w:val="00D16A6F"/>
    <w:rsid w:val="00D24208"/>
    <w:rsid w:val="00D31306"/>
    <w:rsid w:val="00D46B14"/>
    <w:rsid w:val="00D60DBA"/>
    <w:rsid w:val="00D64D55"/>
    <w:rsid w:val="00DA7857"/>
    <w:rsid w:val="00DB0BCE"/>
    <w:rsid w:val="00DB619A"/>
    <w:rsid w:val="00DD2249"/>
    <w:rsid w:val="00DD23B4"/>
    <w:rsid w:val="00DE54C3"/>
    <w:rsid w:val="00DF4775"/>
    <w:rsid w:val="00E10697"/>
    <w:rsid w:val="00E12D3F"/>
    <w:rsid w:val="00E26259"/>
    <w:rsid w:val="00E36C7D"/>
    <w:rsid w:val="00E377BE"/>
    <w:rsid w:val="00E45FA5"/>
    <w:rsid w:val="00E74923"/>
    <w:rsid w:val="00E8328F"/>
    <w:rsid w:val="00E86426"/>
    <w:rsid w:val="00E94F75"/>
    <w:rsid w:val="00EB46C9"/>
    <w:rsid w:val="00EC2297"/>
    <w:rsid w:val="00EC556B"/>
    <w:rsid w:val="00EC6289"/>
    <w:rsid w:val="00EC69A7"/>
    <w:rsid w:val="00ED041F"/>
    <w:rsid w:val="00ED212B"/>
    <w:rsid w:val="00EF1584"/>
    <w:rsid w:val="00EF3E2C"/>
    <w:rsid w:val="00EF730A"/>
    <w:rsid w:val="00F6744B"/>
    <w:rsid w:val="00F714B2"/>
    <w:rsid w:val="00F850D1"/>
    <w:rsid w:val="00F94F46"/>
    <w:rsid w:val="00F978F8"/>
    <w:rsid w:val="00FB417D"/>
    <w:rsid w:val="00FC290F"/>
    <w:rsid w:val="00FC459C"/>
    <w:rsid w:val="00FC6428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36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rsid w:val="00E45FA5"/>
    <w:pPr>
      <w:keepNext/>
      <w:widowControl w:val="0"/>
      <w:numPr>
        <w:numId w:val="5"/>
      </w:numPr>
      <w:spacing w:before="200" w:after="100"/>
      <w:ind w:left="706" w:hanging="706"/>
      <w:outlineLvl w:val="0"/>
    </w:pPr>
    <w:rPr>
      <w:b/>
      <w:caps/>
      <w:sz w:val="24"/>
      <w:szCs w:val="24"/>
    </w:rPr>
  </w:style>
  <w:style w:type="paragraph" w:styleId="Heading2">
    <w:name w:val="heading 2"/>
    <w:basedOn w:val="Normal"/>
    <w:next w:val="BodyText"/>
    <w:qFormat/>
    <w:rsid w:val="009415DE"/>
    <w:pPr>
      <w:widowControl w:val="0"/>
      <w:numPr>
        <w:ilvl w:val="1"/>
        <w:numId w:val="5"/>
      </w:numPr>
      <w:spacing w:before="100" w:after="100"/>
      <w:outlineLvl w:val="1"/>
    </w:pPr>
    <w:rPr>
      <w:sz w:val="24"/>
      <w:szCs w:val="24"/>
      <w:lang w:eastAsia="ja-JP"/>
    </w:rPr>
  </w:style>
  <w:style w:type="paragraph" w:styleId="Heading3">
    <w:name w:val="heading 3"/>
    <w:basedOn w:val="Normal"/>
    <w:next w:val="BodyText"/>
    <w:qFormat/>
    <w:rsid w:val="00526E84"/>
    <w:pPr>
      <w:numPr>
        <w:ilvl w:val="2"/>
        <w:numId w:val="5"/>
      </w:numPr>
      <w:spacing w:before="100" w:after="100"/>
      <w:outlineLvl w:val="2"/>
    </w:pPr>
    <w:rPr>
      <w:sz w:val="24"/>
    </w:rPr>
  </w:style>
  <w:style w:type="paragraph" w:styleId="Heading4">
    <w:name w:val="heading 4"/>
    <w:basedOn w:val="Normal"/>
    <w:next w:val="BodyText"/>
    <w:qFormat/>
    <w:rsid w:val="00526E84"/>
    <w:pPr>
      <w:numPr>
        <w:ilvl w:val="3"/>
        <w:numId w:val="5"/>
      </w:numPr>
      <w:spacing w:before="100" w:after="100"/>
      <w:outlineLvl w:val="3"/>
    </w:pPr>
    <w:rPr>
      <w:sz w:val="24"/>
    </w:rPr>
  </w:style>
  <w:style w:type="paragraph" w:styleId="Heading5">
    <w:name w:val="heading 5"/>
    <w:basedOn w:val="Normal"/>
    <w:next w:val="BodyText"/>
    <w:qFormat/>
    <w:rsid w:val="00526E84"/>
    <w:pPr>
      <w:numPr>
        <w:ilvl w:val="4"/>
        <w:numId w:val="5"/>
      </w:numPr>
      <w:spacing w:before="100" w:after="100"/>
      <w:outlineLvl w:val="4"/>
    </w:pPr>
    <w:rPr>
      <w:sz w:val="24"/>
    </w:rPr>
  </w:style>
  <w:style w:type="paragraph" w:styleId="Heading6">
    <w:name w:val="heading 6"/>
    <w:basedOn w:val="Normal"/>
    <w:next w:val="BodyText"/>
    <w:qFormat/>
    <w:rsid w:val="00526E84"/>
    <w:pPr>
      <w:numPr>
        <w:ilvl w:val="5"/>
        <w:numId w:val="5"/>
      </w:numPr>
      <w:spacing w:before="100" w:after="100"/>
      <w:outlineLvl w:val="5"/>
    </w:pPr>
    <w:rPr>
      <w:sz w:val="24"/>
    </w:rPr>
  </w:style>
  <w:style w:type="paragraph" w:styleId="Heading7">
    <w:name w:val="heading 7"/>
    <w:basedOn w:val="Normal"/>
    <w:next w:val="BodyText"/>
    <w:qFormat/>
    <w:rsid w:val="00526E84"/>
    <w:pPr>
      <w:numPr>
        <w:ilvl w:val="6"/>
        <w:numId w:val="5"/>
      </w:numPr>
      <w:spacing w:before="100" w:after="10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26E84"/>
    <w:pPr>
      <w:spacing w:before="100" w:after="100"/>
      <w:outlineLvl w:val="7"/>
    </w:pPr>
    <w:rPr>
      <w:iCs/>
      <w:sz w:val="24"/>
      <w:szCs w:val="24"/>
    </w:rPr>
  </w:style>
  <w:style w:type="paragraph" w:styleId="Heading9">
    <w:name w:val="heading 9"/>
    <w:basedOn w:val="Normal"/>
    <w:next w:val="Normal"/>
    <w:qFormat/>
    <w:rsid w:val="009566CD"/>
    <w:pPr>
      <w:spacing w:before="100" w:after="10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459C"/>
    <w:pPr>
      <w:spacing w:before="100" w:after="100"/>
    </w:pPr>
  </w:style>
  <w:style w:type="paragraph" w:customStyle="1" w:styleId="Alpha">
    <w:name w:val="Alpha"/>
    <w:basedOn w:val="Normal"/>
    <w:next w:val="BodyText"/>
    <w:rsid w:val="00FE2D55"/>
    <w:pPr>
      <w:spacing w:before="100" w:after="100"/>
      <w:ind w:left="709" w:hanging="709"/>
    </w:pPr>
    <w:rPr>
      <w:rFonts w:eastAsia="Times New Roman"/>
      <w:lang w:eastAsia="en-US"/>
    </w:rPr>
  </w:style>
  <w:style w:type="paragraph" w:customStyle="1" w:styleId="AlphaBrackets">
    <w:name w:val="AlphaBrackets"/>
    <w:basedOn w:val="BodyText"/>
    <w:next w:val="BodyText"/>
    <w:rsid w:val="00FE2D55"/>
    <w:pPr>
      <w:ind w:left="709" w:hanging="709"/>
    </w:pPr>
    <w:rPr>
      <w:rFonts w:eastAsia="Times New Roman"/>
      <w:lang w:eastAsia="en-US"/>
    </w:rPr>
  </w:style>
  <w:style w:type="paragraph" w:styleId="Footer">
    <w:name w:val="footer"/>
    <w:basedOn w:val="Normal"/>
    <w:rsid w:val="001A5B58"/>
    <w:rPr>
      <w:sz w:val="14"/>
    </w:rPr>
  </w:style>
  <w:style w:type="paragraph" w:styleId="TOC5">
    <w:name w:val="toc 5"/>
    <w:basedOn w:val="Normal"/>
    <w:next w:val="Normal"/>
    <w:semiHidden/>
    <w:rsid w:val="00FE2D55"/>
  </w:style>
  <w:style w:type="paragraph" w:customStyle="1" w:styleId="Numeric">
    <w:name w:val="Numeric"/>
    <w:basedOn w:val="BodyText"/>
    <w:next w:val="BodyText"/>
    <w:rsid w:val="001A5B58"/>
    <w:pPr>
      <w:ind w:left="709" w:hanging="709"/>
    </w:pPr>
    <w:rPr>
      <w:rFonts w:eastAsia="Times New Roman"/>
      <w:lang w:eastAsia="en-US"/>
    </w:rPr>
  </w:style>
  <w:style w:type="paragraph" w:customStyle="1" w:styleId="NumericBrackets">
    <w:name w:val="NumericBrackets"/>
    <w:basedOn w:val="BodyText"/>
    <w:next w:val="BodyText"/>
    <w:rsid w:val="001A5B58"/>
    <w:pPr>
      <w:ind w:left="709" w:hanging="709"/>
    </w:pPr>
    <w:rPr>
      <w:rFonts w:eastAsia="Times New Roman"/>
      <w:lang w:eastAsia="en-US"/>
    </w:rPr>
  </w:style>
  <w:style w:type="paragraph" w:customStyle="1" w:styleId="ScheduleHeading1">
    <w:name w:val="Schedule Heading 1"/>
    <w:basedOn w:val="BodyText"/>
    <w:next w:val="BodyText"/>
    <w:rsid w:val="001A5B58"/>
    <w:pPr>
      <w:keepNext/>
      <w:numPr>
        <w:numId w:val="2"/>
      </w:numPr>
      <w:spacing w:before="200"/>
    </w:pPr>
    <w:rPr>
      <w:b/>
      <w:caps/>
    </w:rPr>
  </w:style>
  <w:style w:type="paragraph" w:customStyle="1" w:styleId="ScheduleHeading2">
    <w:name w:val="Schedule Heading 2"/>
    <w:basedOn w:val="BodyText"/>
    <w:next w:val="BodyText"/>
    <w:rsid w:val="001A5B58"/>
    <w:pPr>
      <w:keepNext/>
      <w:numPr>
        <w:ilvl w:val="1"/>
        <w:numId w:val="2"/>
      </w:numPr>
    </w:pPr>
    <w:rPr>
      <w:b/>
    </w:rPr>
  </w:style>
  <w:style w:type="paragraph" w:customStyle="1" w:styleId="ScheduleHeading3">
    <w:name w:val="Schedule Heading 3"/>
    <w:basedOn w:val="BodyText"/>
    <w:next w:val="BodyText"/>
    <w:rsid w:val="001A5B58"/>
    <w:pPr>
      <w:numPr>
        <w:ilvl w:val="2"/>
        <w:numId w:val="2"/>
      </w:numPr>
    </w:pPr>
  </w:style>
  <w:style w:type="paragraph" w:styleId="TOC1">
    <w:name w:val="toc 1"/>
    <w:basedOn w:val="BodyText"/>
    <w:next w:val="BodyText"/>
    <w:semiHidden/>
    <w:rsid w:val="00FE2D55"/>
    <w:pPr>
      <w:tabs>
        <w:tab w:val="left" w:pos="1134"/>
        <w:tab w:val="right" w:leader="dot" w:pos="8789"/>
      </w:tabs>
      <w:ind w:left="1134" w:right="992" w:hanging="1134"/>
    </w:pPr>
    <w:rPr>
      <w:caps/>
    </w:rPr>
  </w:style>
  <w:style w:type="paragraph" w:styleId="TOC2">
    <w:name w:val="toc 2"/>
    <w:basedOn w:val="BodyText"/>
    <w:next w:val="BodyText"/>
    <w:semiHidden/>
    <w:rsid w:val="00FE2D55"/>
    <w:pPr>
      <w:tabs>
        <w:tab w:val="left" w:leader="dot" w:pos="1701"/>
        <w:tab w:val="right" w:leader="dot" w:pos="8789"/>
      </w:tabs>
      <w:spacing w:before="0" w:after="0"/>
      <w:ind w:left="1134" w:right="992" w:hanging="1134"/>
    </w:pPr>
    <w:rPr>
      <w:noProof/>
    </w:rPr>
  </w:style>
  <w:style w:type="paragraph" w:styleId="TOC3">
    <w:name w:val="toc 3"/>
    <w:basedOn w:val="BodyText"/>
    <w:next w:val="BodyText"/>
    <w:semiHidden/>
    <w:rsid w:val="00FE2D55"/>
    <w:pPr>
      <w:tabs>
        <w:tab w:val="left" w:pos="1134"/>
        <w:tab w:val="right" w:leader="dot" w:pos="8789"/>
      </w:tabs>
      <w:adjustRightInd w:val="0"/>
      <w:spacing w:before="0" w:after="0"/>
      <w:ind w:left="1985" w:right="992" w:hanging="851"/>
    </w:pPr>
  </w:style>
  <w:style w:type="paragraph" w:styleId="TOC4">
    <w:name w:val="toc 4"/>
    <w:basedOn w:val="BodyText"/>
    <w:next w:val="BodyText"/>
    <w:semiHidden/>
    <w:rsid w:val="00FE2D55"/>
    <w:pPr>
      <w:tabs>
        <w:tab w:val="right" w:leader="dot" w:pos="8789"/>
      </w:tabs>
      <w:spacing w:before="0" w:after="0"/>
      <w:ind w:left="851" w:right="992"/>
    </w:pPr>
  </w:style>
  <w:style w:type="paragraph" w:styleId="TOC6">
    <w:name w:val="toc 6"/>
    <w:basedOn w:val="Normal"/>
    <w:next w:val="Normal"/>
    <w:semiHidden/>
    <w:rsid w:val="00FE2D55"/>
  </w:style>
  <w:style w:type="paragraph" w:styleId="TOC7">
    <w:name w:val="toc 7"/>
    <w:basedOn w:val="Normal"/>
    <w:next w:val="Normal"/>
    <w:semiHidden/>
    <w:rsid w:val="00FE2D55"/>
  </w:style>
  <w:style w:type="paragraph" w:styleId="TOC8">
    <w:name w:val="toc 8"/>
    <w:basedOn w:val="Normal"/>
    <w:next w:val="Normal"/>
    <w:semiHidden/>
    <w:rsid w:val="00FE2D55"/>
  </w:style>
  <w:style w:type="paragraph" w:styleId="TOC9">
    <w:name w:val="toc 9"/>
    <w:basedOn w:val="Normal"/>
    <w:next w:val="Normal"/>
    <w:semiHidden/>
    <w:rsid w:val="00FE2D55"/>
  </w:style>
  <w:style w:type="paragraph" w:customStyle="1" w:styleId="ScheduleHeading4">
    <w:name w:val="Schedule Heading 4"/>
    <w:basedOn w:val="BodyText"/>
    <w:next w:val="BodyText"/>
    <w:rsid w:val="001A5B58"/>
    <w:pPr>
      <w:numPr>
        <w:ilvl w:val="3"/>
        <w:numId w:val="2"/>
      </w:numPr>
    </w:pPr>
  </w:style>
  <w:style w:type="character" w:styleId="FootnoteReference">
    <w:name w:val="footnote reference"/>
    <w:semiHidden/>
    <w:rsid w:val="00666034"/>
    <w:rPr>
      <w:vertAlign w:val="superscript"/>
    </w:rPr>
  </w:style>
  <w:style w:type="paragraph" w:customStyle="1" w:styleId="ScheduleHeading5">
    <w:name w:val="Schedule Heading 5"/>
    <w:basedOn w:val="BodyText"/>
    <w:next w:val="BodyText"/>
    <w:rsid w:val="001A5B58"/>
    <w:pPr>
      <w:numPr>
        <w:ilvl w:val="4"/>
        <w:numId w:val="2"/>
      </w:numPr>
    </w:pPr>
  </w:style>
  <w:style w:type="paragraph" w:styleId="BlockText">
    <w:name w:val="Block Text"/>
    <w:basedOn w:val="Normal"/>
    <w:rsid w:val="001A5B58"/>
    <w:pPr>
      <w:spacing w:after="120"/>
      <w:ind w:left="1440" w:right="1440"/>
    </w:pPr>
  </w:style>
  <w:style w:type="paragraph" w:customStyle="1" w:styleId="ScheduleHeading6">
    <w:name w:val="Schedule Heading 6"/>
    <w:basedOn w:val="BodyText"/>
    <w:next w:val="BodyText"/>
    <w:rsid w:val="001A5B58"/>
    <w:pPr>
      <w:numPr>
        <w:ilvl w:val="5"/>
        <w:numId w:val="2"/>
      </w:numPr>
    </w:pPr>
  </w:style>
  <w:style w:type="paragraph" w:customStyle="1" w:styleId="ScheduleHeading7">
    <w:name w:val="Schedule Heading 7"/>
    <w:basedOn w:val="BodyText"/>
    <w:next w:val="BodyText"/>
    <w:rsid w:val="001A5B58"/>
    <w:pPr>
      <w:numPr>
        <w:ilvl w:val="6"/>
        <w:numId w:val="2"/>
      </w:numPr>
    </w:pPr>
  </w:style>
  <w:style w:type="paragraph" w:styleId="FootnoteText">
    <w:name w:val="footnote text"/>
    <w:basedOn w:val="Normal"/>
    <w:next w:val="FootnoteTextContinue"/>
    <w:autoRedefine/>
    <w:rsid w:val="002E7AFE"/>
    <w:pPr>
      <w:ind w:left="119" w:hanging="119"/>
    </w:pPr>
    <w:rPr>
      <w:sz w:val="20"/>
    </w:rPr>
  </w:style>
  <w:style w:type="paragraph" w:customStyle="1" w:styleId="FootnoteTextContinue">
    <w:name w:val="Footnote Text Continue"/>
    <w:basedOn w:val="Normal"/>
    <w:autoRedefine/>
    <w:rsid w:val="008724AF"/>
    <w:pPr>
      <w:ind w:left="119"/>
    </w:pPr>
    <w:rPr>
      <w:sz w:val="20"/>
    </w:rPr>
  </w:style>
  <w:style w:type="paragraph" w:styleId="Header">
    <w:name w:val="header"/>
    <w:basedOn w:val="Normal"/>
    <w:rsid w:val="000E16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8FC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A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2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608"/>
    <w:rPr>
      <w:color w:val="0000FF"/>
      <w:u w:val="single"/>
    </w:rPr>
  </w:style>
  <w:style w:type="paragraph" w:customStyle="1" w:styleId="Bold">
    <w:name w:val="Bold"/>
    <w:basedOn w:val="Normal"/>
    <w:rsid w:val="006F5AD7"/>
    <w:rPr>
      <w:rFonts w:asciiTheme="majorBidi" w:eastAsia="MS PGothic" w:hAnsiTheme="majorBidi" w:cstheme="majorBidi"/>
      <w:b/>
      <w:bCs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6F5AD7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6F5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AD7"/>
    <w:rPr>
      <w:rFonts w:ascii="Tahoma" w:eastAsiaTheme="minorEastAsia" w:hAnsi="Tahoma" w:cs="Tahoma"/>
      <w:sz w:val="16"/>
      <w:szCs w:val="16"/>
    </w:rPr>
  </w:style>
  <w:style w:type="paragraph" w:customStyle="1" w:styleId="BodyTextLeft">
    <w:name w:val="Body Text Left"/>
    <w:basedOn w:val="Normal"/>
    <w:rsid w:val="006F5AD7"/>
    <w:pPr>
      <w:spacing w:after="240"/>
    </w:pPr>
    <w:rPr>
      <w:rFonts w:asciiTheme="majorBidi" w:eastAsia="MS PGothic" w:hAnsiTheme="majorBidi" w:cstheme="majorBidi"/>
      <w:sz w:val="24"/>
      <w:szCs w:val="24"/>
    </w:rPr>
  </w:style>
  <w:style w:type="paragraph" w:customStyle="1" w:styleId="Subheader">
    <w:name w:val="Subheader"/>
    <w:basedOn w:val="Bold"/>
    <w:rsid w:val="006F5AD7"/>
    <w:pPr>
      <w:spacing w:after="240"/>
    </w:pPr>
  </w:style>
  <w:style w:type="character" w:styleId="CommentReference">
    <w:name w:val="annotation reference"/>
    <w:basedOn w:val="DefaultParagraphFont"/>
    <w:rsid w:val="00FB41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17D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FB4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17D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lsburylaw.com/christopher-gun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llsburylaw.com/james-campb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2015-06-11T09:16:00Z</dcterms:created>
  <dcterms:modified xsi:type="dcterms:W3CDTF">2015-06-11T09:16:00Z</dcterms:modified>
</cp:coreProperties>
</file>